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ECFC" w14:textId="1BBA74C5" w:rsidR="00724429" w:rsidRPr="00042E09" w:rsidRDefault="00724429" w:rsidP="00724429">
      <w:pPr>
        <w:jc w:val="both"/>
      </w:pPr>
      <w:r w:rsidRPr="00042E09">
        <w:rPr>
          <w:b/>
          <w:color w:val="FF0000"/>
        </w:rPr>
        <w:t xml:space="preserve">Disclaimer: </w:t>
      </w:r>
      <w:r w:rsidRPr="00042E09">
        <w:t xml:space="preserve">The primary objective of this document is to assist municipalities in drafting </w:t>
      </w:r>
      <w:r>
        <w:t>a Local Law</w:t>
      </w:r>
      <w:r w:rsidRPr="00042E09">
        <w:t xml:space="preserve"> to facilitate the creation of Community Choice Aggregation programs in New York State. The following information should not be a substitute for legal advice from an attorney familiar with local requirements. </w:t>
      </w:r>
    </w:p>
    <w:p w14:paraId="29F3471B" w14:textId="77777777" w:rsidR="00926A0D" w:rsidRPr="00926A0D" w:rsidRDefault="00926A0D" w:rsidP="00926A0D">
      <w:pPr>
        <w:pStyle w:val="Default"/>
        <w:spacing w:line="360" w:lineRule="auto"/>
        <w:jc w:val="center"/>
        <w:rPr>
          <w:b/>
          <w:bCs/>
        </w:rPr>
      </w:pPr>
    </w:p>
    <w:p w14:paraId="74FB9C30" w14:textId="69821023" w:rsidR="00926A0D" w:rsidRPr="00926A0D" w:rsidRDefault="00926A0D" w:rsidP="00926A0D">
      <w:pPr>
        <w:pStyle w:val="Default"/>
        <w:spacing w:line="360" w:lineRule="auto"/>
        <w:jc w:val="center"/>
      </w:pPr>
      <w:r w:rsidRPr="00926A0D">
        <w:rPr>
          <w:b/>
          <w:bCs/>
        </w:rPr>
        <w:t xml:space="preserve">LOCAL LAW NO. </w:t>
      </w:r>
      <w:r w:rsidRPr="00926A0D">
        <w:rPr>
          <w:b/>
          <w:bCs/>
          <w:color w:val="00B0F0"/>
        </w:rPr>
        <w:t>[#]</w:t>
      </w:r>
    </w:p>
    <w:p w14:paraId="73A3E548" w14:textId="77777777" w:rsidR="00926A0D" w:rsidRPr="00926A0D" w:rsidRDefault="00926A0D" w:rsidP="00926A0D">
      <w:pPr>
        <w:jc w:val="center"/>
        <w:rPr>
          <w:bCs/>
        </w:rPr>
      </w:pPr>
    </w:p>
    <w:p w14:paraId="719FE122" w14:textId="77777777" w:rsidR="00926A0D" w:rsidRPr="00926A0D" w:rsidRDefault="00926A0D" w:rsidP="00926A0D">
      <w:pPr>
        <w:jc w:val="center"/>
        <w:rPr>
          <w:bCs/>
        </w:rPr>
      </w:pPr>
      <w:r w:rsidRPr="00926A0D">
        <w:rPr>
          <w:bCs/>
        </w:rPr>
        <w:t xml:space="preserve">A LOCAL LAW TO ESTABLISH A </w:t>
      </w:r>
    </w:p>
    <w:p w14:paraId="1D8CB76F" w14:textId="77777777" w:rsidR="00926A0D" w:rsidRPr="00926A0D" w:rsidRDefault="00926A0D" w:rsidP="00926A0D">
      <w:pPr>
        <w:jc w:val="center"/>
        <w:rPr>
          <w:bCs/>
        </w:rPr>
      </w:pPr>
      <w:r w:rsidRPr="00926A0D">
        <w:rPr>
          <w:bCs/>
        </w:rPr>
        <w:t>COMMUNITY CHOICE AGGREGATION (ENERGY) PROGRAM</w:t>
      </w:r>
    </w:p>
    <w:p w14:paraId="7374A730" w14:textId="77777777" w:rsidR="00926A0D" w:rsidRPr="00926A0D" w:rsidRDefault="00926A0D" w:rsidP="00926A0D">
      <w:pPr>
        <w:jc w:val="both"/>
      </w:pPr>
    </w:p>
    <w:p w14:paraId="5D3ECFC0" w14:textId="77777777" w:rsidR="00926A0D" w:rsidRPr="00926A0D" w:rsidRDefault="00926A0D" w:rsidP="00926A0D">
      <w:pPr>
        <w:jc w:val="both"/>
      </w:pPr>
      <w:r w:rsidRPr="00926A0D">
        <w:t xml:space="preserve">Be it enacted by the </w:t>
      </w:r>
      <w:r w:rsidRPr="00926A0D">
        <w:rPr>
          <w:color w:val="00B0F0"/>
        </w:rPr>
        <w:t xml:space="preserve">[legislative body] </w:t>
      </w:r>
      <w:r w:rsidRPr="00926A0D">
        <w:t xml:space="preserve">of the </w:t>
      </w:r>
      <w:r w:rsidRPr="00926A0D">
        <w:rPr>
          <w:bCs/>
          <w:color w:val="00B0F0"/>
        </w:rPr>
        <w:t>[City, Town, or Village of ____</w:t>
      </w:r>
      <w:proofErr w:type="gramStart"/>
      <w:r w:rsidRPr="00926A0D">
        <w:rPr>
          <w:bCs/>
          <w:color w:val="00B0F0"/>
        </w:rPr>
        <w:t>_ ]</w:t>
      </w:r>
      <w:proofErr w:type="gramEnd"/>
      <w:r w:rsidRPr="00926A0D">
        <w:rPr>
          <w:bCs/>
          <w:color w:val="00B0F0"/>
        </w:rPr>
        <w:t xml:space="preserve"> </w:t>
      </w:r>
      <w:r w:rsidRPr="00926A0D">
        <w:t>as follows:</w:t>
      </w:r>
    </w:p>
    <w:p w14:paraId="4DB4E792" w14:textId="77777777" w:rsidR="00926A0D" w:rsidRPr="00926A0D" w:rsidRDefault="00926A0D" w:rsidP="00926A0D">
      <w:pPr>
        <w:jc w:val="both"/>
        <w:rPr>
          <w:b/>
          <w:bCs/>
        </w:rPr>
      </w:pPr>
    </w:p>
    <w:p w14:paraId="30249851" w14:textId="77777777" w:rsidR="00926A0D" w:rsidRPr="00926A0D" w:rsidRDefault="00926A0D" w:rsidP="00926A0D">
      <w:pPr>
        <w:jc w:val="both"/>
      </w:pPr>
      <w:r w:rsidRPr="00926A0D">
        <w:t xml:space="preserve">The Code of the </w:t>
      </w:r>
      <w:r w:rsidRPr="00926A0D">
        <w:rPr>
          <w:bCs/>
          <w:color w:val="00B0F0"/>
        </w:rPr>
        <w:t>[City, Town, or Village of ____</w:t>
      </w:r>
      <w:proofErr w:type="gramStart"/>
      <w:r w:rsidRPr="00926A0D">
        <w:rPr>
          <w:bCs/>
          <w:color w:val="00B0F0"/>
        </w:rPr>
        <w:t>_ ]</w:t>
      </w:r>
      <w:proofErr w:type="gramEnd"/>
      <w:r w:rsidRPr="00926A0D">
        <w:rPr>
          <w:bCs/>
          <w:color w:val="00B0F0"/>
        </w:rPr>
        <w:t xml:space="preserve"> </w:t>
      </w:r>
      <w:r w:rsidRPr="00926A0D">
        <w:t xml:space="preserve">is hereby amended by adding a new Chapter </w:t>
      </w:r>
      <w:r w:rsidRPr="00926A0D">
        <w:rPr>
          <w:color w:val="00B0F0"/>
        </w:rPr>
        <w:t>[#]</w:t>
      </w:r>
      <w:r w:rsidRPr="00926A0D">
        <w:t>, entitled “COMMUNITY CHOICE AGGREGATION (ENERGY) PROGRAM,” to read as follows:</w:t>
      </w:r>
    </w:p>
    <w:p w14:paraId="06F431D2" w14:textId="77777777" w:rsidR="00926A0D" w:rsidRPr="00926A0D" w:rsidRDefault="00926A0D" w:rsidP="00926A0D">
      <w:pPr>
        <w:jc w:val="both"/>
        <w:rPr>
          <w:b/>
          <w:bCs/>
        </w:rPr>
      </w:pPr>
    </w:p>
    <w:p w14:paraId="61280952" w14:textId="77777777" w:rsidR="00926A0D" w:rsidRPr="00926A0D" w:rsidRDefault="00926A0D" w:rsidP="00926A0D">
      <w:pPr>
        <w:jc w:val="both"/>
        <w:rPr>
          <w:b/>
          <w:bCs/>
        </w:rPr>
      </w:pPr>
      <w:r w:rsidRPr="00926A0D">
        <w:rPr>
          <w:b/>
          <w:bCs/>
        </w:rPr>
        <w:t>§1.  Legislative Findings; Intent and Purpose; Authority.</w:t>
      </w:r>
    </w:p>
    <w:p w14:paraId="57FA8C4B" w14:textId="77777777" w:rsidR="00926A0D" w:rsidRPr="00926A0D" w:rsidRDefault="00926A0D" w:rsidP="00926A0D">
      <w:pPr>
        <w:jc w:val="both"/>
        <w:rPr>
          <w:b/>
          <w:bCs/>
        </w:rPr>
      </w:pPr>
    </w:p>
    <w:p w14:paraId="41E4FC9A" w14:textId="3CE1BAEC" w:rsidR="00926A0D" w:rsidRPr="00926A0D" w:rsidRDefault="00926A0D" w:rsidP="00926A0D">
      <w:pPr>
        <w:ind w:left="720" w:hanging="720"/>
        <w:jc w:val="both"/>
      </w:pPr>
      <w:r w:rsidRPr="00926A0D">
        <w:t xml:space="preserve">A. </w:t>
      </w:r>
      <w:r w:rsidRPr="00926A0D">
        <w:tab/>
        <w:t xml:space="preserve">It is the policy of both the </w:t>
      </w:r>
      <w:r w:rsidRPr="00926A0D">
        <w:rPr>
          <w:bCs/>
          <w:color w:val="00B0F0"/>
        </w:rPr>
        <w:t xml:space="preserve">[City, Town, or Village of _____ ] </w:t>
      </w:r>
      <w:r w:rsidRPr="00926A0D">
        <w:rPr>
          <w:bCs/>
        </w:rPr>
        <w:t xml:space="preserve">(“Municipality”) </w:t>
      </w:r>
      <w:r w:rsidRPr="00926A0D">
        <w:t xml:space="preserve">and the State of New York to reduce costs and provide cost certainty for the purpose of economic development, to promote deeper penetration of energy efficiency and renewable energy resources such as wind and solar, and wider deployment of distributed energy resources as well as to examine the retail energy markets and increase participation of and benefits for </w:t>
      </w:r>
      <w:r w:rsidR="00724429">
        <w:t xml:space="preserve">Eligible </w:t>
      </w:r>
      <w:r w:rsidR="00D75A65">
        <w:t>Customers</w:t>
      </w:r>
      <w:r w:rsidRPr="00926A0D">
        <w:t xml:space="preserve"> in those markets.  Among the policies and models that may offer benefits in New York is Community Choice Aggregation (“CCA”), which allows local governments to </w:t>
      </w:r>
      <w:r w:rsidR="00D75A65">
        <w:t>procure</w:t>
      </w:r>
      <w:r w:rsidRPr="00926A0D">
        <w:t xml:space="preserve"> electricity and natural gas </w:t>
      </w:r>
      <w:r w:rsidR="00D75A65">
        <w:t xml:space="preserve">supply </w:t>
      </w:r>
      <w:r w:rsidRPr="00926A0D">
        <w:t xml:space="preserve">on behalf of </w:t>
      </w:r>
      <w:r w:rsidR="00D75A65">
        <w:t xml:space="preserve">its </w:t>
      </w:r>
      <w:r w:rsidR="00724429">
        <w:t>Eligible Consumers</w:t>
      </w:r>
      <w:r w:rsidRPr="00926A0D">
        <w:t xml:space="preserve">.  </w:t>
      </w:r>
    </w:p>
    <w:p w14:paraId="08BB743E" w14:textId="77777777" w:rsidR="00926A0D" w:rsidRPr="00926A0D" w:rsidRDefault="00926A0D" w:rsidP="00926A0D">
      <w:pPr>
        <w:ind w:left="720" w:hanging="720"/>
        <w:jc w:val="both"/>
      </w:pPr>
    </w:p>
    <w:p w14:paraId="1A672F44" w14:textId="401D2122" w:rsidR="00926A0D" w:rsidRPr="00926A0D" w:rsidRDefault="00926A0D" w:rsidP="00926A0D">
      <w:pPr>
        <w:ind w:left="720" w:hanging="720"/>
        <w:jc w:val="both"/>
      </w:pPr>
      <w:r w:rsidRPr="00926A0D">
        <w:t>B.</w:t>
      </w:r>
      <w:r w:rsidRPr="00926A0D">
        <w:tab/>
        <w:t xml:space="preserve">The purpose of </w:t>
      </w:r>
      <w:r w:rsidR="009B2406">
        <w:t xml:space="preserve">this </w:t>
      </w:r>
      <w:r w:rsidRPr="00926A0D">
        <w:t xml:space="preserve">CCA </w:t>
      </w:r>
      <w:r w:rsidR="009B2406">
        <w:t xml:space="preserve">program </w:t>
      </w:r>
      <w:r w:rsidRPr="00926A0D">
        <w:t>is to allow participating local governments to procure</w:t>
      </w:r>
      <w:r w:rsidR="009B2406">
        <w:t xml:space="preserve"> Energy Services, such as</w:t>
      </w:r>
      <w:r w:rsidRPr="00926A0D">
        <w:t xml:space="preserve"> energy supply </w:t>
      </w:r>
      <w:r w:rsidR="009B2406">
        <w:t xml:space="preserve">and Community Distributed Generation (CDG) Credits, </w:t>
      </w:r>
      <w:r w:rsidRPr="00926A0D">
        <w:t>for</w:t>
      </w:r>
      <w:r w:rsidR="009B2406">
        <w:t xml:space="preserve"> their</w:t>
      </w:r>
      <w:r w:rsidRPr="00926A0D">
        <w:t xml:space="preserve"> </w:t>
      </w:r>
      <w:r w:rsidR="00724429">
        <w:t>Eligible Consumers</w:t>
      </w:r>
      <w:r w:rsidRPr="00926A0D">
        <w:t xml:space="preserve">, who will have the opportunity to opt out of the procurement, while maintaining transmission and distribution service from the existing Distribution Utility.  This Chapter establishes a program that will allow the </w:t>
      </w:r>
      <w:r w:rsidRPr="00926A0D">
        <w:rPr>
          <w:bCs/>
        </w:rPr>
        <w:t xml:space="preserve">Municipality and other local governments to work together through a shared purchasing model </w:t>
      </w:r>
      <w:r w:rsidRPr="00926A0D">
        <w:t xml:space="preserve">to put </w:t>
      </w:r>
      <w:r w:rsidR="009B2406">
        <w:t>Energy Services</w:t>
      </w:r>
      <w:r w:rsidRPr="00926A0D">
        <w:t xml:space="preserve"> </w:t>
      </w:r>
      <w:r w:rsidR="009B2406">
        <w:t xml:space="preserve">out </w:t>
      </w:r>
      <w:r w:rsidRPr="00926A0D">
        <w:t>for bid</w:t>
      </w:r>
      <w:r w:rsidR="009B2406">
        <w:t>.</w:t>
      </w:r>
      <w:r w:rsidRPr="00926A0D">
        <w:t xml:space="preserve"> Eligible </w:t>
      </w:r>
      <w:r w:rsidR="00724429">
        <w:t>consumers</w:t>
      </w:r>
      <w:r w:rsidRPr="00926A0D">
        <w:t xml:space="preserve"> will have the opportunity to have more control to lower their overall energy costs, to spur clean energy innovation and investment, to improve customer choice and value, and to protect the environment; thereby, fulfilling the purposes of this Chapter and fulfilling an important public purpose.</w:t>
      </w:r>
    </w:p>
    <w:p w14:paraId="038CF4C9" w14:textId="77777777" w:rsidR="00926A0D" w:rsidRPr="00926A0D" w:rsidRDefault="00926A0D" w:rsidP="00926A0D">
      <w:pPr>
        <w:ind w:left="720" w:hanging="720"/>
        <w:jc w:val="both"/>
      </w:pPr>
    </w:p>
    <w:p w14:paraId="51977585" w14:textId="1ADC3B92" w:rsidR="00926A0D" w:rsidRPr="00926A0D" w:rsidRDefault="00926A0D" w:rsidP="00926A0D">
      <w:pPr>
        <w:widowControl w:val="0"/>
        <w:autoSpaceDE w:val="0"/>
        <w:autoSpaceDN w:val="0"/>
        <w:adjustRightInd w:val="0"/>
        <w:ind w:left="720" w:hanging="720"/>
        <w:jc w:val="both"/>
      </w:pPr>
      <w:r w:rsidRPr="00926A0D">
        <w:t>C.</w:t>
      </w:r>
      <w:r w:rsidRPr="00926A0D">
        <w:tab/>
        <w:t xml:space="preserve">The </w:t>
      </w:r>
      <w:r w:rsidRPr="00926A0D">
        <w:rPr>
          <w:bCs/>
        </w:rPr>
        <w:t>Municipality</w:t>
      </w:r>
      <w:r w:rsidRPr="00926A0D">
        <w:t xml:space="preserve"> is authorized to implement this CCA Program pursuant to Section 10(1)(ii)(a)(12) of the New York Municipal Home Rule Law; and State of New York Public Service Commission Case No. 14-M-0224, Proceeding on Motion of the Commission to Enable Community Choice Aggregation Programs (issued April 21, 2016</w:t>
      </w:r>
      <w:r w:rsidR="00B35643">
        <w:t>, hereinafter CCA Framework Order</w:t>
      </w:r>
      <w:r w:rsidRPr="00926A0D">
        <w:t xml:space="preserve">) </w:t>
      </w:r>
    </w:p>
    <w:p w14:paraId="3A84597E" w14:textId="77777777" w:rsidR="00926A0D" w:rsidRPr="00926A0D" w:rsidRDefault="00926A0D" w:rsidP="00926A0D">
      <w:pPr>
        <w:widowControl w:val="0"/>
        <w:autoSpaceDE w:val="0"/>
        <w:autoSpaceDN w:val="0"/>
        <w:adjustRightInd w:val="0"/>
        <w:ind w:left="720" w:hanging="720"/>
        <w:jc w:val="both"/>
      </w:pPr>
    </w:p>
    <w:p w14:paraId="0269F904" w14:textId="36C4C755" w:rsidR="00926A0D" w:rsidRPr="00926A0D" w:rsidRDefault="00926A0D" w:rsidP="00926A0D">
      <w:pPr>
        <w:ind w:left="720" w:hanging="720"/>
        <w:jc w:val="both"/>
      </w:pPr>
      <w:r w:rsidRPr="00926A0D">
        <w:t xml:space="preserve">D. </w:t>
      </w:r>
      <w:r w:rsidRPr="00926A0D">
        <w:tab/>
        <w:t xml:space="preserve">This Chapter shall be known and may be cited as the </w:t>
      </w:r>
      <w:r w:rsidR="00B35643" w:rsidRPr="00926A0D">
        <w:t>Community Choice Aggregation (Energy) Program</w:t>
      </w:r>
      <w:r w:rsidRPr="00926A0D">
        <w:t xml:space="preserve"> of the </w:t>
      </w:r>
      <w:r w:rsidRPr="00926A0D">
        <w:rPr>
          <w:bCs/>
        </w:rPr>
        <w:t>Municipality.</w:t>
      </w:r>
    </w:p>
    <w:p w14:paraId="3682B172" w14:textId="77777777" w:rsidR="00926A0D" w:rsidRPr="00926A0D" w:rsidRDefault="00926A0D" w:rsidP="00926A0D">
      <w:pPr>
        <w:jc w:val="both"/>
        <w:rPr>
          <w:b/>
          <w:bCs/>
        </w:rPr>
      </w:pPr>
    </w:p>
    <w:p w14:paraId="4EDE3596" w14:textId="77777777" w:rsidR="00926A0D" w:rsidRPr="00926A0D" w:rsidRDefault="00926A0D" w:rsidP="00926A0D">
      <w:pPr>
        <w:jc w:val="both"/>
        <w:rPr>
          <w:b/>
          <w:bCs/>
        </w:rPr>
      </w:pPr>
      <w:r w:rsidRPr="00926A0D">
        <w:rPr>
          <w:b/>
          <w:bCs/>
        </w:rPr>
        <w:t>§2.  Definitions.</w:t>
      </w:r>
    </w:p>
    <w:p w14:paraId="3DBA9DCC" w14:textId="77777777" w:rsidR="00926A0D" w:rsidRPr="00926A0D" w:rsidRDefault="00926A0D" w:rsidP="00926A0D">
      <w:pPr>
        <w:jc w:val="both"/>
      </w:pPr>
    </w:p>
    <w:p w14:paraId="3B4480F0" w14:textId="21D097A0" w:rsidR="00926A0D" w:rsidRDefault="00926A0D" w:rsidP="00926A0D">
      <w:pPr>
        <w:jc w:val="both"/>
      </w:pPr>
      <w:r w:rsidRPr="00926A0D">
        <w:t>For purposes of this Chapter, and unless otherwise expressly stated or unless the context otherwise requires, the terms in this Chapter shall have the meanings employed in the State of New York Public Service Commission’s Uniform Business Practices</w:t>
      </w:r>
      <w:r w:rsidR="00B35643">
        <w:t>.</w:t>
      </w:r>
    </w:p>
    <w:p w14:paraId="5A55A42C" w14:textId="77777777" w:rsidR="00823012" w:rsidRDefault="00823012" w:rsidP="00926A0D">
      <w:pPr>
        <w:jc w:val="both"/>
      </w:pPr>
    </w:p>
    <w:p w14:paraId="4935E4C7" w14:textId="22881E07" w:rsidR="00823012" w:rsidRDefault="00823012" w:rsidP="00823012">
      <w:pPr>
        <w:jc w:val="both"/>
      </w:pPr>
      <w:r w:rsidRPr="00823012">
        <w:rPr>
          <w:b/>
          <w:bCs/>
        </w:rPr>
        <w:t>Community Choice Aggregation Program (or “CCA Program”):</w:t>
      </w:r>
      <w:r>
        <w:t xml:space="preserve"> A municipal energy procurement program, which replaces the incumbent utility as the default electric and/or gas Supplier for all bundled customers within the City of New Rochelle. The CCA Program may include Community Distributed Generation Credits on an opt-out basis and other DER offerings on an opt-in basis.</w:t>
      </w:r>
    </w:p>
    <w:p w14:paraId="339674F8" w14:textId="77777777" w:rsidR="00823012" w:rsidRDefault="00823012" w:rsidP="00823012">
      <w:pPr>
        <w:jc w:val="both"/>
      </w:pPr>
    </w:p>
    <w:p w14:paraId="2E121D4B" w14:textId="77777777" w:rsidR="00823012" w:rsidRDefault="00823012" w:rsidP="00823012">
      <w:pPr>
        <w:jc w:val="both"/>
      </w:pPr>
      <w:r w:rsidRPr="00823012">
        <w:rPr>
          <w:b/>
          <w:bCs/>
        </w:rPr>
        <w:t xml:space="preserve">Community Distributed Generation (or “CDG”): </w:t>
      </w:r>
      <w:r w:rsidRPr="00823012">
        <w:t>Community s</w:t>
      </w:r>
      <w:r>
        <w:t>hared renewables program expanding customer access to the environmental and system benefits of qualifying renewable project generation located behind a non-residential host meter based on remotely sharing net metering or VDER monetary credits through a monetary credit applied to the utility bills of Participating Customers.</w:t>
      </w:r>
    </w:p>
    <w:p w14:paraId="07FA9FDD" w14:textId="77777777" w:rsidR="00823012" w:rsidRDefault="00823012" w:rsidP="00823012">
      <w:pPr>
        <w:jc w:val="both"/>
      </w:pPr>
    </w:p>
    <w:p w14:paraId="34D39E0E" w14:textId="77777777" w:rsidR="00823012" w:rsidRDefault="00823012" w:rsidP="00823012">
      <w:pPr>
        <w:jc w:val="both"/>
      </w:pPr>
      <w:r w:rsidRPr="00823012">
        <w:rPr>
          <w:b/>
          <w:bCs/>
        </w:rPr>
        <w:t>Community Distributed Generation Credits (or “CDG Credits”):</w:t>
      </w:r>
      <w:r>
        <w:t xml:space="preserve"> The monetary credit applied to the utility bills of Participating Customers through the CDG program.</w:t>
      </w:r>
    </w:p>
    <w:p w14:paraId="35633E7A" w14:textId="77777777" w:rsidR="00823012" w:rsidRDefault="00823012" w:rsidP="00823012">
      <w:pPr>
        <w:jc w:val="both"/>
      </w:pPr>
    </w:p>
    <w:p w14:paraId="3B609B6C" w14:textId="77777777" w:rsidR="00823012" w:rsidRPr="00823012" w:rsidRDefault="00823012" w:rsidP="00823012">
      <w:pPr>
        <w:jc w:val="both"/>
        <w:rPr>
          <w:b/>
          <w:bCs/>
        </w:rPr>
      </w:pPr>
      <w:r w:rsidRPr="00823012">
        <w:rPr>
          <w:b/>
          <w:bCs/>
        </w:rPr>
        <w:t>Customers:</w:t>
      </w:r>
    </w:p>
    <w:p w14:paraId="0437548E" w14:textId="77777777" w:rsidR="00823012" w:rsidRDefault="00823012" w:rsidP="00823012">
      <w:pPr>
        <w:ind w:left="720"/>
        <w:jc w:val="both"/>
      </w:pPr>
      <w:r w:rsidRPr="00823012">
        <w:rPr>
          <w:b/>
          <w:bCs/>
        </w:rPr>
        <w:t>Eligible Customers:</w:t>
      </w:r>
      <w:r>
        <w:t xml:space="preserve"> Customers of electricity and/or natural gas eligible to participate in CCA, either on an Opt-out or Opt-in basis, as delineated in the CCA Framework Order.</w:t>
      </w:r>
    </w:p>
    <w:p w14:paraId="59B388A7" w14:textId="77777777" w:rsidR="00823012" w:rsidRDefault="00823012" w:rsidP="00823012">
      <w:pPr>
        <w:ind w:left="720"/>
        <w:jc w:val="both"/>
      </w:pPr>
      <w:r>
        <w:t xml:space="preserve"> </w:t>
      </w:r>
    </w:p>
    <w:p w14:paraId="578E49EE" w14:textId="0A47F6F6" w:rsidR="00823012" w:rsidRDefault="00823012" w:rsidP="00823012">
      <w:pPr>
        <w:ind w:left="720"/>
        <w:jc w:val="both"/>
      </w:pPr>
      <w:r w:rsidRPr="00823012">
        <w:rPr>
          <w:b/>
          <w:bCs/>
        </w:rPr>
        <w:t>Opt-</w:t>
      </w:r>
      <w:r>
        <w:rPr>
          <w:b/>
          <w:bCs/>
        </w:rPr>
        <w:t>O</w:t>
      </w:r>
      <w:r w:rsidRPr="00823012">
        <w:rPr>
          <w:b/>
          <w:bCs/>
        </w:rPr>
        <w:t>ut Eligible Customers:</w:t>
      </w:r>
      <w:r>
        <w:t xml:space="preserve"> Eligible Customers that are eligible for opt-out treatment as delineated in the CCA Framework Order.</w:t>
      </w:r>
    </w:p>
    <w:p w14:paraId="79328139" w14:textId="77777777" w:rsidR="00823012" w:rsidRDefault="00823012" w:rsidP="00823012">
      <w:pPr>
        <w:ind w:left="720"/>
        <w:jc w:val="both"/>
      </w:pPr>
    </w:p>
    <w:p w14:paraId="08B71272" w14:textId="77777777" w:rsidR="00823012" w:rsidRDefault="00823012" w:rsidP="00823012">
      <w:pPr>
        <w:ind w:left="720"/>
        <w:jc w:val="both"/>
      </w:pPr>
      <w:r w:rsidRPr="00823012">
        <w:rPr>
          <w:b/>
          <w:bCs/>
        </w:rPr>
        <w:t>Participating Customers:</w:t>
      </w:r>
      <w:r>
        <w:t xml:space="preserve"> Opt-out eligible customers who have been enrolled </w:t>
      </w:r>
      <w:proofErr w:type="gramStart"/>
      <w:r>
        <w:t>subsequent to</w:t>
      </w:r>
      <w:proofErr w:type="gramEnd"/>
      <w:r>
        <w:t xml:space="preserve"> the opt-out process and other customers who have opted in.</w:t>
      </w:r>
    </w:p>
    <w:p w14:paraId="724B50DD" w14:textId="77777777" w:rsidR="00823012" w:rsidRDefault="00823012" w:rsidP="00823012">
      <w:pPr>
        <w:jc w:val="both"/>
      </w:pPr>
    </w:p>
    <w:p w14:paraId="4E6A29FE" w14:textId="77777777" w:rsidR="00823012" w:rsidRDefault="00823012" w:rsidP="00823012">
      <w:pPr>
        <w:jc w:val="both"/>
      </w:pPr>
      <w:r w:rsidRPr="00823012">
        <w:rPr>
          <w:b/>
          <w:bCs/>
        </w:rPr>
        <w:t>Customer-specific Data:</w:t>
      </w:r>
      <w:r>
        <w:t xml:space="preserve"> Utility data for all Opt-out Eligible Customers including account holder name, service address, primary language, if available, any customer-specific alternate billing name and/or address, and other relevant, authorized data.</w:t>
      </w:r>
    </w:p>
    <w:p w14:paraId="59D9CAEA" w14:textId="77777777" w:rsidR="00823012" w:rsidRDefault="00823012" w:rsidP="00823012">
      <w:pPr>
        <w:jc w:val="both"/>
      </w:pPr>
    </w:p>
    <w:p w14:paraId="134A6474" w14:textId="1B039800" w:rsidR="00823012" w:rsidRDefault="00823012" w:rsidP="00823012">
      <w:pPr>
        <w:jc w:val="both"/>
      </w:pPr>
      <w:r w:rsidRPr="00823012">
        <w:rPr>
          <w:b/>
          <w:bCs/>
        </w:rPr>
        <w:t>Distributed Energy Resources (or “DER”):</w:t>
      </w:r>
      <w:r>
        <w:t xml:space="preserve"> </w:t>
      </w:r>
      <w:r>
        <w:t>I</w:t>
      </w:r>
      <w:r>
        <w:t>nitiatives that further engage and/or reduce cost of service for participating consumers, optimize system benefits, and/or address infrastructure and demand challenges within the geography of the CCA including, but not limited to, local renewable energy projects, Community Distributed Generation, peak demand management, energy efficiency, demand response, energy storage, community resilience microgrid projects, and other innovative initiatives.</w:t>
      </w:r>
    </w:p>
    <w:p w14:paraId="27FC69C5" w14:textId="77777777" w:rsidR="00823012" w:rsidRDefault="00823012" w:rsidP="00823012">
      <w:pPr>
        <w:jc w:val="both"/>
      </w:pPr>
    </w:p>
    <w:p w14:paraId="197263D0" w14:textId="6E08B52A" w:rsidR="00823012" w:rsidRDefault="00823012" w:rsidP="00823012">
      <w:pPr>
        <w:jc w:val="both"/>
      </w:pPr>
      <w:r w:rsidRPr="00823012">
        <w:rPr>
          <w:b/>
          <w:bCs/>
        </w:rPr>
        <w:t>Energy Services:</w:t>
      </w:r>
      <w:r>
        <w:t xml:space="preserve"> </w:t>
      </w:r>
      <w:r>
        <w:t>The provision of energy supply as electric power and/or natural gas or the provision of DER offerings.</w:t>
      </w:r>
    </w:p>
    <w:p w14:paraId="546BF3B5" w14:textId="77777777" w:rsidR="00823012" w:rsidRDefault="00823012" w:rsidP="00823012">
      <w:pPr>
        <w:jc w:val="both"/>
      </w:pPr>
    </w:p>
    <w:p w14:paraId="4C715C17" w14:textId="45E01833" w:rsidR="00823012" w:rsidRDefault="00823012" w:rsidP="00823012">
      <w:pPr>
        <w:jc w:val="both"/>
      </w:pPr>
      <w:r w:rsidRPr="00823012">
        <w:rPr>
          <w:b/>
          <w:bCs/>
        </w:rPr>
        <w:t>Distribution Utility:</w:t>
      </w:r>
      <w:r>
        <w:t xml:space="preserve"> </w:t>
      </w:r>
      <w:r>
        <w:t>Owner or controller of the means of distribution of the natural gas or electricity that is regulated by the Public Service Commission.</w:t>
      </w:r>
    </w:p>
    <w:p w14:paraId="410D2967" w14:textId="77777777" w:rsidR="00823012" w:rsidRDefault="00823012" w:rsidP="00823012">
      <w:pPr>
        <w:jc w:val="both"/>
      </w:pPr>
    </w:p>
    <w:p w14:paraId="33E6C96E" w14:textId="6C14017A" w:rsidR="00823012" w:rsidRDefault="00823012" w:rsidP="00823012">
      <w:pPr>
        <w:jc w:val="both"/>
      </w:pPr>
      <w:r w:rsidRPr="00823012">
        <w:rPr>
          <w:b/>
          <w:bCs/>
        </w:rPr>
        <w:t>Public Service Commission (or “PSC”):</w:t>
      </w:r>
      <w:r>
        <w:t xml:space="preserve"> New York State Public Service Commission.</w:t>
      </w:r>
    </w:p>
    <w:p w14:paraId="37CA4A17" w14:textId="77777777" w:rsidR="00823012" w:rsidRDefault="00823012" w:rsidP="00823012">
      <w:pPr>
        <w:jc w:val="both"/>
      </w:pPr>
    </w:p>
    <w:p w14:paraId="77808FF1" w14:textId="122D77F3" w:rsidR="00823012" w:rsidRDefault="00823012" w:rsidP="00823012">
      <w:pPr>
        <w:jc w:val="both"/>
      </w:pPr>
      <w:r w:rsidRPr="00823012">
        <w:rPr>
          <w:b/>
          <w:bCs/>
        </w:rPr>
        <w:lastRenderedPageBreak/>
        <w:t>Suppliers:</w:t>
      </w:r>
      <w:r>
        <w:t xml:space="preserve"> </w:t>
      </w:r>
      <w:r>
        <w:t>Energy service companies (ESCOs)</w:t>
      </w:r>
      <w:r>
        <w:t xml:space="preserve"> </w:t>
      </w:r>
      <w:r>
        <w:t>that procure electric power and natural gas and/or DER providers and/or other entities with authority to provide Energy Services for Participating Customers in connection with this</w:t>
      </w:r>
      <w:r w:rsidR="00BA49EB">
        <w:t xml:space="preserve"> </w:t>
      </w:r>
      <w:r>
        <w:t>Chapter.</w:t>
      </w:r>
      <w:r>
        <w:tab/>
      </w:r>
    </w:p>
    <w:p w14:paraId="32D5C4D4" w14:textId="77777777" w:rsidR="00823012" w:rsidRDefault="00823012" w:rsidP="00823012">
      <w:pPr>
        <w:jc w:val="both"/>
      </w:pPr>
    </w:p>
    <w:p w14:paraId="59CA13D2" w14:textId="69561CBD" w:rsidR="00823012" w:rsidRDefault="00BA49EB" w:rsidP="00823012">
      <w:pPr>
        <w:jc w:val="both"/>
      </w:pPr>
      <w:r w:rsidRPr="00BA49EB">
        <w:rPr>
          <w:b/>
          <w:bCs/>
        </w:rPr>
        <w:t xml:space="preserve">Value Of Distributed Energy Resources </w:t>
      </w:r>
      <w:r w:rsidR="00823012" w:rsidRPr="00BA49EB">
        <w:rPr>
          <w:b/>
          <w:bCs/>
        </w:rPr>
        <w:t>(or “VDER”):</w:t>
      </w:r>
      <w:r w:rsidR="00823012">
        <w:t xml:space="preserve"> </w:t>
      </w:r>
      <w:r>
        <w:t>P</w:t>
      </w:r>
      <w:r w:rsidR="00823012">
        <w:t>roceeding (Case</w:t>
      </w:r>
    </w:p>
    <w:p w14:paraId="430B7A9D" w14:textId="3867415F" w:rsidR="00823012" w:rsidRPr="00926A0D" w:rsidRDefault="00823012" w:rsidP="00823012">
      <w:pPr>
        <w:jc w:val="both"/>
      </w:pPr>
      <w:r>
        <w:t>15-E-0751) that replaces the net metering program with a weighted value stack tariff mechanism for accurately pricing Distributed Energy Resources on the grid as a reflection of their system value. Value stack components include the price of energy, capacity, avoided carbon emissions, cost savings to customers and utilities, demand reduction and locational relief. The goal of this proceeding is to increase DER penetration and benefits of DER installations.</w:t>
      </w:r>
    </w:p>
    <w:p w14:paraId="45C5C275" w14:textId="77777777" w:rsidR="00926A0D" w:rsidRPr="00926A0D" w:rsidRDefault="00926A0D" w:rsidP="00926A0D">
      <w:pPr>
        <w:ind w:left="720"/>
        <w:jc w:val="both"/>
        <w:rPr>
          <w:b/>
        </w:rPr>
      </w:pPr>
    </w:p>
    <w:p w14:paraId="4EC1DFF0" w14:textId="27995D39" w:rsidR="00926A0D" w:rsidRPr="00926A0D" w:rsidRDefault="00926A0D" w:rsidP="00926A0D">
      <w:pPr>
        <w:jc w:val="both"/>
        <w:rPr>
          <w:b/>
          <w:bCs/>
        </w:rPr>
      </w:pPr>
      <w:r w:rsidRPr="00926A0D">
        <w:rPr>
          <w:b/>
          <w:bCs/>
        </w:rPr>
        <w:t>§3.  Establishment of a Program.</w:t>
      </w:r>
    </w:p>
    <w:p w14:paraId="7EB8E76E" w14:textId="77777777" w:rsidR="00926A0D" w:rsidRPr="00926A0D" w:rsidRDefault="00926A0D" w:rsidP="00926A0D">
      <w:pPr>
        <w:jc w:val="both"/>
        <w:rPr>
          <w:b/>
          <w:bCs/>
        </w:rPr>
      </w:pPr>
    </w:p>
    <w:p w14:paraId="319D8FC3" w14:textId="74DA3F19" w:rsidR="00510C10" w:rsidRDefault="00926A0D" w:rsidP="00510C10">
      <w:pPr>
        <w:pStyle w:val="ListParagraph"/>
        <w:numPr>
          <w:ilvl w:val="0"/>
          <w:numId w:val="31"/>
        </w:numPr>
        <w:jc w:val="both"/>
      </w:pPr>
      <w:r w:rsidRPr="00926A0D">
        <w:t xml:space="preserve">A Community Choice Aggregation (Energy) Program is hereby established by the </w:t>
      </w:r>
      <w:r w:rsidRPr="00510C10">
        <w:rPr>
          <w:bCs/>
        </w:rPr>
        <w:t>Municipality</w:t>
      </w:r>
      <w:r w:rsidRPr="00926A0D">
        <w:t xml:space="preserve">, whereby the </w:t>
      </w:r>
      <w:r w:rsidRPr="00510C10">
        <w:rPr>
          <w:bCs/>
        </w:rPr>
        <w:t>Municipality</w:t>
      </w:r>
      <w:r w:rsidRPr="00926A0D">
        <w:t xml:space="preserve"> </w:t>
      </w:r>
      <w:r w:rsidR="00510C10">
        <w:t xml:space="preserve">shall work together with PowerMarket to implement the CCA Program to the full extent permitted by the CCA Framework Order, as set forth more fully herein. The Municipality’s role under the CCA Program involves the aggregating of demand for energy of its Eligible Customers and the </w:t>
      </w:r>
      <w:proofErr w:type="gramStart"/>
      <w:r w:rsidR="00510C10">
        <w:t>entering into</w:t>
      </w:r>
      <w:proofErr w:type="gramEnd"/>
      <w:r w:rsidR="00510C10">
        <w:t xml:space="preserve"> contracts for Energy Services. Under the CCA Program, the operation and ownership of the utility service shall remain with the Distribution Utility.</w:t>
      </w:r>
    </w:p>
    <w:p w14:paraId="73B39C5D" w14:textId="77777777" w:rsidR="00510C10" w:rsidRDefault="00510C10" w:rsidP="00510C10">
      <w:pPr>
        <w:jc w:val="both"/>
      </w:pPr>
    </w:p>
    <w:p w14:paraId="5F71FE13" w14:textId="0014ABF7" w:rsidR="00510C10" w:rsidRDefault="00510C10" w:rsidP="00510C10">
      <w:pPr>
        <w:pStyle w:val="ListParagraph"/>
        <w:numPr>
          <w:ilvl w:val="0"/>
          <w:numId w:val="31"/>
        </w:numPr>
        <w:jc w:val="both"/>
      </w:pPr>
      <w:r>
        <w:t xml:space="preserve">The Municipality’s participation in a CCA Program constitutes neither the purchase of a public utility system, nor the furnishing of utility service. The Municipality will not take over any part of the electric or gas transmission or distribution system and will not furnish any type of utility </w:t>
      </w:r>
      <w:proofErr w:type="gramStart"/>
      <w:r>
        <w:t>service, but</w:t>
      </w:r>
      <w:proofErr w:type="gramEnd"/>
      <w:r>
        <w:t xml:space="preserve"> will instead negotiate with suppliers on behalf of Participating Customers. </w:t>
      </w:r>
    </w:p>
    <w:p w14:paraId="451ADD2D" w14:textId="77777777" w:rsidR="00510C10" w:rsidRDefault="00510C10" w:rsidP="00510C10">
      <w:pPr>
        <w:pStyle w:val="ListParagraph"/>
      </w:pPr>
    </w:p>
    <w:p w14:paraId="3415D861" w14:textId="33B44021" w:rsidR="00510C10" w:rsidRDefault="00510C10" w:rsidP="00510C10">
      <w:pPr>
        <w:pStyle w:val="ListParagraph"/>
        <w:numPr>
          <w:ilvl w:val="0"/>
          <w:numId w:val="31"/>
        </w:numPr>
        <w:jc w:val="both"/>
      </w:pPr>
      <w:proofErr w:type="gramStart"/>
      <w:r>
        <w:t>In order to</w:t>
      </w:r>
      <w:proofErr w:type="gramEnd"/>
      <w:r>
        <w:t xml:space="preserve"> implement the CCA Program, the Municipality will adopt resolutions that outline the process of and conditions for participation in the CCA Program, including but not limited to signing a contract for a compliant bid with one or more Suppliers, all as consistent with this Chapter and the CCA Framework Order. </w:t>
      </w:r>
    </w:p>
    <w:p w14:paraId="009CD4EA" w14:textId="77777777" w:rsidR="00510C10" w:rsidRDefault="00510C10" w:rsidP="00510C10">
      <w:pPr>
        <w:pStyle w:val="ListParagraph"/>
      </w:pPr>
    </w:p>
    <w:p w14:paraId="250D0C47" w14:textId="34C43FCD" w:rsidR="00510C10" w:rsidRDefault="00510C10" w:rsidP="00510C10">
      <w:pPr>
        <w:pStyle w:val="ListParagraph"/>
        <w:numPr>
          <w:ilvl w:val="0"/>
          <w:numId w:val="31"/>
        </w:numPr>
        <w:jc w:val="both"/>
      </w:pPr>
      <w:r>
        <w:t xml:space="preserve">The Public Service Commission supervises retail markets and participants in these markets through legislative and regulatory authority and the Uniform Business Practices, which includes rules relating to the eligibility of participating Suppliers, the operation by which Suppliers provide energy services, and the terms on which customers may be enrolled with Suppliers. </w:t>
      </w:r>
    </w:p>
    <w:p w14:paraId="43AE429F" w14:textId="77777777" w:rsidR="00926A0D" w:rsidRPr="00926A0D" w:rsidRDefault="00926A0D" w:rsidP="00926A0D">
      <w:pPr>
        <w:ind w:left="720" w:hanging="720"/>
        <w:jc w:val="both"/>
      </w:pPr>
    </w:p>
    <w:p w14:paraId="0F3E9E8A" w14:textId="077C7529" w:rsidR="00926A0D" w:rsidRPr="00926A0D" w:rsidRDefault="00926A0D" w:rsidP="00926A0D">
      <w:pPr>
        <w:ind w:left="720" w:hanging="720"/>
        <w:jc w:val="both"/>
        <w:rPr>
          <w:b/>
          <w:bCs/>
        </w:rPr>
      </w:pPr>
      <w:r w:rsidRPr="00926A0D">
        <w:rPr>
          <w:b/>
          <w:bCs/>
        </w:rPr>
        <w:t xml:space="preserve">§4.  </w:t>
      </w:r>
      <w:r w:rsidR="00510C10">
        <w:rPr>
          <w:b/>
          <w:bCs/>
        </w:rPr>
        <w:t>Procedures for e</w:t>
      </w:r>
      <w:r w:rsidRPr="00926A0D">
        <w:rPr>
          <w:b/>
          <w:bCs/>
        </w:rPr>
        <w:t>ligibility</w:t>
      </w:r>
      <w:r w:rsidR="00510C10">
        <w:rPr>
          <w:b/>
          <w:bCs/>
        </w:rPr>
        <w:t>; customer data sharing</w:t>
      </w:r>
    </w:p>
    <w:p w14:paraId="7054C043" w14:textId="77777777" w:rsidR="00926A0D" w:rsidRPr="00926A0D" w:rsidRDefault="00926A0D" w:rsidP="00926A0D">
      <w:pPr>
        <w:ind w:left="720" w:hanging="720"/>
        <w:jc w:val="both"/>
        <w:rPr>
          <w:b/>
          <w:bCs/>
        </w:rPr>
      </w:pPr>
    </w:p>
    <w:p w14:paraId="29E0604D" w14:textId="6124EC82" w:rsidR="00D2280F" w:rsidRDefault="00D2280F" w:rsidP="00D2280F">
      <w:pPr>
        <w:pStyle w:val="ListParagraph"/>
        <w:numPr>
          <w:ilvl w:val="0"/>
          <w:numId w:val="33"/>
        </w:numPr>
        <w:jc w:val="both"/>
      </w:pPr>
      <w:r>
        <w:t xml:space="preserve">As permitted by the CCA Framework Order, the </w:t>
      </w:r>
      <w:r>
        <w:t>Municipality</w:t>
      </w:r>
      <w:r>
        <w:t xml:space="preserve"> may request from the Distribution Utilities aggregated customer information by fuel type, service classification and other relevant, authorized data.</w:t>
      </w:r>
    </w:p>
    <w:p w14:paraId="074DB987" w14:textId="233854CA" w:rsidR="00D2280F" w:rsidRDefault="00D2280F" w:rsidP="00D2280F">
      <w:pPr>
        <w:pStyle w:val="ListParagraph"/>
        <w:numPr>
          <w:ilvl w:val="0"/>
          <w:numId w:val="33"/>
        </w:numPr>
        <w:jc w:val="both"/>
      </w:pPr>
      <w:r>
        <w:t>PowerMarket</w:t>
      </w:r>
      <w:r>
        <w:t xml:space="preserve">, on behalf of the </w:t>
      </w:r>
      <w:r>
        <w:t>Municipality</w:t>
      </w:r>
      <w:r>
        <w:t>, shall issue one or more requests for proposals to Suppliers to provide energy to participants and may then award one or more contracts in accordance with the CCA Program</w:t>
      </w:r>
      <w:r>
        <w:t>.</w:t>
      </w:r>
    </w:p>
    <w:p w14:paraId="0777E41A" w14:textId="3EE4C736" w:rsidR="00D2280F" w:rsidRDefault="00D2280F" w:rsidP="00D2280F">
      <w:pPr>
        <w:pStyle w:val="ListParagraph"/>
        <w:numPr>
          <w:ilvl w:val="0"/>
          <w:numId w:val="33"/>
        </w:numPr>
        <w:jc w:val="both"/>
      </w:pPr>
      <w:r>
        <w:t>PowerMarket</w:t>
      </w:r>
      <w:r>
        <w:t xml:space="preserve"> or the </w:t>
      </w:r>
      <w:r>
        <w:t>Municipality</w:t>
      </w:r>
      <w:r>
        <w:t>, if the City so chooses, will then request Customer-specific Data from the Distribution Utility in accordance with the CCA Program.</w:t>
      </w:r>
    </w:p>
    <w:p w14:paraId="1304EA67" w14:textId="68C27513" w:rsidR="00D2280F" w:rsidRDefault="00D2280F" w:rsidP="00D2280F">
      <w:pPr>
        <w:pStyle w:val="ListParagraph"/>
        <w:numPr>
          <w:ilvl w:val="0"/>
          <w:numId w:val="33"/>
        </w:numPr>
        <w:jc w:val="both"/>
      </w:pPr>
      <w:r>
        <w:lastRenderedPageBreak/>
        <w:t>PowerMarket</w:t>
      </w:r>
      <w:r>
        <w:t xml:space="preserve"> or the </w:t>
      </w:r>
      <w:r>
        <w:t>Municipality</w:t>
      </w:r>
      <w:r>
        <w:t xml:space="preserve">, if the </w:t>
      </w:r>
      <w:r>
        <w:t>Municipality</w:t>
      </w:r>
      <w:r>
        <w:t xml:space="preserve"> so chooses, and the selected Supplier(s) will then notify Opt-out Eligible Customers of the contract terms and opportunity to opt out of the CCA Program energy supply and/or CDG Credits.</w:t>
      </w:r>
    </w:p>
    <w:p w14:paraId="596D44B6" w14:textId="03C9BB49" w:rsidR="00D2280F" w:rsidRPr="00D2280F" w:rsidRDefault="00D2280F" w:rsidP="00A63971">
      <w:pPr>
        <w:pStyle w:val="ListParagraph"/>
        <w:numPr>
          <w:ilvl w:val="0"/>
          <w:numId w:val="33"/>
        </w:numPr>
        <w:jc w:val="both"/>
      </w:pPr>
      <w:r w:rsidRPr="00D2280F">
        <w:rPr>
          <w:sz w:val="23"/>
          <w:szCs w:val="23"/>
        </w:rPr>
        <w:t>In accordance with and for purposes of the CCA Framework Order,</w:t>
      </w:r>
      <w:r w:rsidRPr="00D2280F">
        <w:rPr>
          <w:sz w:val="23"/>
          <w:szCs w:val="23"/>
        </w:rPr>
        <w:t xml:space="preserve"> </w:t>
      </w:r>
      <w:r w:rsidRPr="00D2280F">
        <w:rPr>
          <w:sz w:val="23"/>
          <w:szCs w:val="23"/>
        </w:rPr>
        <w:t>the Distribution Utility will provide to Sustainable Westchester</w:t>
      </w:r>
      <w:r w:rsidRPr="00D2280F">
        <w:rPr>
          <w:sz w:val="23"/>
          <w:szCs w:val="23"/>
        </w:rPr>
        <w:t xml:space="preserve"> </w:t>
      </w:r>
      <w:r w:rsidRPr="00D2280F">
        <w:rPr>
          <w:sz w:val="23"/>
          <w:szCs w:val="23"/>
        </w:rPr>
        <w:t xml:space="preserve">Customer-specific Data (including usage data capacity tag obligations, account numbers, and service addresses) of all </w:t>
      </w:r>
      <w:r>
        <w:rPr>
          <w:sz w:val="23"/>
          <w:szCs w:val="23"/>
        </w:rPr>
        <w:t xml:space="preserve">Eligible Customers in the Municipality. </w:t>
      </w:r>
    </w:p>
    <w:p w14:paraId="6D228A14" w14:textId="377D265E" w:rsidR="00D2280F" w:rsidRDefault="00D2280F" w:rsidP="00A63971">
      <w:pPr>
        <w:pStyle w:val="ListParagraph"/>
        <w:numPr>
          <w:ilvl w:val="0"/>
          <w:numId w:val="33"/>
        </w:numPr>
        <w:jc w:val="both"/>
      </w:pPr>
      <w:r>
        <w:rPr>
          <w:sz w:val="23"/>
          <w:szCs w:val="23"/>
        </w:rPr>
        <w:t xml:space="preserve">PowerMarket and the Municipality will protect customer information as required by law, subject to the CCA Framework Order and the limitations of the New York State Freedom of Information Law. </w:t>
      </w:r>
    </w:p>
    <w:p w14:paraId="0E4E4DCC" w14:textId="6D0B3897" w:rsidR="00D2280F" w:rsidRDefault="00D2280F" w:rsidP="00D2280F">
      <w:pPr>
        <w:jc w:val="both"/>
      </w:pPr>
    </w:p>
    <w:p w14:paraId="6286DC82" w14:textId="17A6EB10" w:rsidR="00D2280F" w:rsidRDefault="002F2C07" w:rsidP="00D2280F">
      <w:pPr>
        <w:jc w:val="both"/>
      </w:pPr>
      <w:r w:rsidRPr="00926A0D">
        <w:rPr>
          <w:b/>
          <w:bCs/>
        </w:rPr>
        <w:t>§</w:t>
      </w:r>
      <w:r>
        <w:rPr>
          <w:b/>
          <w:bCs/>
        </w:rPr>
        <w:t>5</w:t>
      </w:r>
      <w:r w:rsidRPr="00926A0D">
        <w:rPr>
          <w:b/>
          <w:bCs/>
        </w:rPr>
        <w:t xml:space="preserve">.  </w:t>
      </w:r>
      <w:r>
        <w:rPr>
          <w:b/>
          <w:bCs/>
        </w:rPr>
        <w:t>Choice of energy supplier; opt-out notice and procedure</w:t>
      </w:r>
    </w:p>
    <w:p w14:paraId="5E8D036B" w14:textId="79948566" w:rsidR="002F2C07" w:rsidRDefault="002F2C07" w:rsidP="00D2280F">
      <w:pPr>
        <w:jc w:val="both"/>
      </w:pPr>
    </w:p>
    <w:p w14:paraId="3F840C1D" w14:textId="77777777" w:rsidR="002F2C07" w:rsidRPr="002F2C07" w:rsidRDefault="002F2C07" w:rsidP="002F2C07">
      <w:pPr>
        <w:pStyle w:val="ListParagraph"/>
        <w:numPr>
          <w:ilvl w:val="0"/>
          <w:numId w:val="34"/>
        </w:numPr>
        <w:jc w:val="both"/>
      </w:pPr>
      <w:r w:rsidRPr="002F2C07">
        <w:t xml:space="preserve">The Municipality will notify, or will cause notification of, its Opt-Out Eligible Customers by letter notice, of the Municipality establishing the CCA Program, of the contract terms with the Supplier, and of the opportunity to opt out of the CCA program offerings. </w:t>
      </w:r>
    </w:p>
    <w:p w14:paraId="1E11D3C0" w14:textId="77777777" w:rsidR="002F2C07" w:rsidRPr="002F2C07" w:rsidRDefault="002F2C07" w:rsidP="002F2C07">
      <w:pPr>
        <w:pStyle w:val="ListParagraph"/>
        <w:numPr>
          <w:ilvl w:val="0"/>
          <w:numId w:val="34"/>
        </w:numPr>
        <w:jc w:val="both"/>
      </w:pPr>
      <w:r w:rsidRPr="002F2C07">
        <w:t>The letter notice will be sent to each Opt-out Eligible Customer at the address provided</w:t>
      </w:r>
      <w:r w:rsidRPr="002F2C07">
        <w:rPr>
          <w:spacing w:val="-1"/>
        </w:rPr>
        <w:t xml:space="preserve"> </w:t>
      </w:r>
      <w:r w:rsidRPr="002F2C07">
        <w:t>by</w:t>
      </w:r>
      <w:r w:rsidRPr="002F2C07">
        <w:rPr>
          <w:spacing w:val="-6"/>
        </w:rPr>
        <w:t xml:space="preserve"> </w:t>
      </w:r>
      <w:r w:rsidRPr="002F2C07">
        <w:t>the</w:t>
      </w:r>
      <w:r w:rsidRPr="002F2C07">
        <w:rPr>
          <w:spacing w:val="-1"/>
        </w:rPr>
        <w:t xml:space="preserve"> </w:t>
      </w:r>
      <w:r w:rsidRPr="002F2C07">
        <w:t>Distribution</w:t>
      </w:r>
      <w:r w:rsidRPr="002F2C07">
        <w:rPr>
          <w:spacing w:val="-3"/>
        </w:rPr>
        <w:t xml:space="preserve"> </w:t>
      </w:r>
      <w:r w:rsidRPr="002F2C07">
        <w:t>Utility</w:t>
      </w:r>
      <w:r w:rsidRPr="002F2C07">
        <w:rPr>
          <w:spacing w:val="-7"/>
        </w:rPr>
        <w:t xml:space="preserve"> </w:t>
      </w:r>
      <w:r w:rsidRPr="002F2C07">
        <w:t>and</w:t>
      </w:r>
      <w:r w:rsidRPr="002F2C07">
        <w:rPr>
          <w:spacing w:val="-1"/>
        </w:rPr>
        <w:t xml:space="preserve"> </w:t>
      </w:r>
      <w:r w:rsidRPr="002F2C07">
        <w:t>explain</w:t>
      </w:r>
      <w:r w:rsidRPr="002F2C07">
        <w:rPr>
          <w:spacing w:val="-1"/>
        </w:rPr>
        <w:t xml:space="preserve"> </w:t>
      </w:r>
      <w:r w:rsidRPr="002F2C07">
        <w:t>the</w:t>
      </w:r>
      <w:r w:rsidRPr="002F2C07">
        <w:rPr>
          <w:spacing w:val="-2"/>
        </w:rPr>
        <w:t xml:space="preserve"> </w:t>
      </w:r>
      <w:r w:rsidRPr="002F2C07">
        <w:t>CCA</w:t>
      </w:r>
      <w:r w:rsidRPr="002F2C07">
        <w:rPr>
          <w:spacing w:val="-2"/>
        </w:rPr>
        <w:t xml:space="preserve"> </w:t>
      </w:r>
      <w:r w:rsidRPr="002F2C07">
        <w:t>Program</w:t>
      </w:r>
      <w:r w:rsidRPr="002F2C07">
        <w:rPr>
          <w:spacing w:val="-2"/>
        </w:rPr>
        <w:t xml:space="preserve"> </w:t>
      </w:r>
      <w:r w:rsidRPr="002F2C07">
        <w:t>and the</w:t>
      </w:r>
      <w:r w:rsidRPr="002F2C07">
        <w:rPr>
          <w:spacing w:val="-2"/>
        </w:rPr>
        <w:t xml:space="preserve"> </w:t>
      </w:r>
      <w:r w:rsidRPr="002F2C07">
        <w:t>material</w:t>
      </w:r>
      <w:r w:rsidRPr="002F2C07">
        <w:rPr>
          <w:spacing w:val="-1"/>
        </w:rPr>
        <w:t xml:space="preserve"> </w:t>
      </w:r>
      <w:r w:rsidRPr="002F2C07">
        <w:t>provisions</w:t>
      </w:r>
      <w:r w:rsidRPr="002F2C07">
        <w:rPr>
          <w:spacing w:val="-1"/>
        </w:rPr>
        <w:t xml:space="preserve"> </w:t>
      </w:r>
      <w:r w:rsidRPr="002F2C07">
        <w:t>of</w:t>
      </w:r>
      <w:r w:rsidRPr="002F2C07">
        <w:rPr>
          <w:spacing w:val="-2"/>
        </w:rPr>
        <w:t xml:space="preserve"> </w:t>
      </w:r>
      <w:r w:rsidRPr="002F2C07">
        <w:t>the Supplier contract, identify</w:t>
      </w:r>
      <w:r w:rsidRPr="002F2C07">
        <w:rPr>
          <w:spacing w:val="-5"/>
        </w:rPr>
        <w:t xml:space="preserve"> </w:t>
      </w:r>
      <w:r w:rsidRPr="002F2C07">
        <w:t>the</w:t>
      </w:r>
      <w:r w:rsidRPr="002F2C07">
        <w:rPr>
          <w:spacing w:val="-1"/>
        </w:rPr>
        <w:t xml:space="preserve"> </w:t>
      </w:r>
      <w:r w:rsidRPr="002F2C07">
        <w:t>methods by</w:t>
      </w:r>
      <w:r w:rsidRPr="002F2C07">
        <w:rPr>
          <w:spacing w:val="-8"/>
        </w:rPr>
        <w:t xml:space="preserve"> </w:t>
      </w:r>
      <w:r w:rsidRPr="002F2C07">
        <w:t>which the customer can opt out of the CCA Program, and provide information on how the customer can access additional information about the CCA Program.</w:t>
      </w:r>
    </w:p>
    <w:p w14:paraId="60BFEBAB" w14:textId="45FD361D" w:rsidR="002F2C07" w:rsidRPr="002F2C07" w:rsidRDefault="002F2C07" w:rsidP="002F2C07">
      <w:pPr>
        <w:pStyle w:val="ListParagraph"/>
        <w:numPr>
          <w:ilvl w:val="0"/>
          <w:numId w:val="34"/>
        </w:numPr>
        <w:jc w:val="both"/>
      </w:pPr>
      <w:r w:rsidRPr="002F2C07">
        <w:t>The</w:t>
      </w:r>
      <w:r w:rsidRPr="002F2C07">
        <w:rPr>
          <w:spacing w:val="-4"/>
        </w:rPr>
        <w:t xml:space="preserve"> </w:t>
      </w:r>
      <w:r w:rsidRPr="002F2C07">
        <w:t>opt-out</w:t>
      </w:r>
      <w:r w:rsidRPr="002F2C07">
        <w:rPr>
          <w:spacing w:val="-1"/>
        </w:rPr>
        <w:t xml:space="preserve"> </w:t>
      </w:r>
      <w:r w:rsidRPr="002F2C07">
        <w:t>period</w:t>
      </w:r>
      <w:r w:rsidRPr="002F2C07">
        <w:rPr>
          <w:spacing w:val="-1"/>
        </w:rPr>
        <w:t xml:space="preserve"> </w:t>
      </w:r>
      <w:r w:rsidRPr="002F2C07">
        <w:t>shall be</w:t>
      </w:r>
      <w:r w:rsidRPr="002F2C07">
        <w:rPr>
          <w:spacing w:val="-1"/>
        </w:rPr>
        <w:t xml:space="preserve"> </w:t>
      </w:r>
      <w:r w:rsidRPr="002F2C07">
        <w:t>at</w:t>
      </w:r>
      <w:r w:rsidRPr="002F2C07">
        <w:rPr>
          <w:spacing w:val="-1"/>
        </w:rPr>
        <w:t xml:space="preserve"> </w:t>
      </w:r>
      <w:r w:rsidRPr="002F2C07">
        <w:t>least</w:t>
      </w:r>
      <w:r w:rsidRPr="002F2C07">
        <w:rPr>
          <w:spacing w:val="-1"/>
        </w:rPr>
        <w:t xml:space="preserve"> </w:t>
      </w:r>
      <w:r w:rsidRPr="002F2C07">
        <w:t>thirty</w:t>
      </w:r>
      <w:r w:rsidRPr="002F2C07">
        <w:rPr>
          <w:spacing w:val="-5"/>
        </w:rPr>
        <w:t xml:space="preserve"> </w:t>
      </w:r>
      <w:r w:rsidRPr="002F2C07">
        <w:t>(30)</w:t>
      </w:r>
      <w:r w:rsidRPr="002F2C07">
        <w:rPr>
          <w:spacing w:val="-1"/>
        </w:rPr>
        <w:t xml:space="preserve"> </w:t>
      </w:r>
      <w:r w:rsidRPr="002F2C07">
        <w:rPr>
          <w:spacing w:val="-2"/>
        </w:rPr>
        <w:t>Days.</w:t>
      </w:r>
    </w:p>
    <w:p w14:paraId="2F3B2E65" w14:textId="3326C6D8" w:rsidR="002F2C07" w:rsidRDefault="002F2C07" w:rsidP="002F2C07">
      <w:pPr>
        <w:pStyle w:val="BodyText"/>
        <w:spacing w:before="4"/>
      </w:pPr>
    </w:p>
    <w:p w14:paraId="0C6FB023" w14:textId="783EBE92" w:rsidR="002F2C07" w:rsidRPr="00642DED" w:rsidRDefault="002F2C07" w:rsidP="002F2C07">
      <w:pPr>
        <w:pStyle w:val="BodyText"/>
        <w:spacing w:before="4"/>
        <w:rPr>
          <w:b/>
          <w:bCs/>
        </w:rPr>
      </w:pPr>
      <w:r w:rsidRPr="00642DED">
        <w:rPr>
          <w:b/>
          <w:bCs/>
        </w:rPr>
        <w:t>§</w:t>
      </w:r>
      <w:r w:rsidRPr="00642DED">
        <w:rPr>
          <w:b/>
          <w:bCs/>
        </w:rPr>
        <w:t>6</w:t>
      </w:r>
      <w:r w:rsidRPr="00642DED">
        <w:rPr>
          <w:b/>
          <w:bCs/>
        </w:rPr>
        <w:t>.  Verification</w:t>
      </w:r>
      <w:r w:rsidRPr="00642DED">
        <w:rPr>
          <w:b/>
          <w:bCs/>
          <w:spacing w:val="-5"/>
        </w:rPr>
        <w:t xml:space="preserve"> </w:t>
      </w:r>
      <w:r w:rsidRPr="00642DED">
        <w:rPr>
          <w:b/>
          <w:bCs/>
        </w:rPr>
        <w:t>and</w:t>
      </w:r>
      <w:r w:rsidRPr="00642DED">
        <w:rPr>
          <w:b/>
          <w:bCs/>
          <w:spacing w:val="-4"/>
        </w:rPr>
        <w:t xml:space="preserve"> </w:t>
      </w:r>
      <w:r w:rsidRPr="00642DED">
        <w:rPr>
          <w:b/>
          <w:bCs/>
          <w:spacing w:val="-2"/>
        </w:rPr>
        <w:t>reporting.</w:t>
      </w:r>
    </w:p>
    <w:p w14:paraId="33C4E138" w14:textId="3E2FD549" w:rsidR="002F2C07" w:rsidRPr="00F41782" w:rsidRDefault="00642DED" w:rsidP="00642DED">
      <w:pPr>
        <w:pStyle w:val="ListParagraph"/>
        <w:widowControl w:val="0"/>
        <w:numPr>
          <w:ilvl w:val="0"/>
          <w:numId w:val="37"/>
        </w:numPr>
        <w:tabs>
          <w:tab w:val="left" w:pos="1361"/>
        </w:tabs>
        <w:autoSpaceDE w:val="0"/>
        <w:autoSpaceDN w:val="0"/>
        <w:ind w:right="233"/>
        <w:jc w:val="both"/>
      </w:pPr>
      <w:r w:rsidRPr="00F41782">
        <w:t>PowerMarket</w:t>
      </w:r>
      <w:r w:rsidR="002F2C07" w:rsidRPr="00F41782">
        <w:t xml:space="preserve"> shall be responsible for filing an annual report with the Public Service Commission, as required in the CCA Framework Order.</w:t>
      </w:r>
    </w:p>
    <w:p w14:paraId="2300E528" w14:textId="77777777" w:rsidR="002F2C07" w:rsidRDefault="002F2C07" w:rsidP="002F2C07">
      <w:pPr>
        <w:pStyle w:val="BodyText"/>
        <w:spacing w:before="1"/>
        <w:rPr>
          <w:sz w:val="16"/>
        </w:rPr>
      </w:pPr>
    </w:p>
    <w:p w14:paraId="7463F1C4" w14:textId="77777777" w:rsidR="002F2C07" w:rsidRPr="00F41782" w:rsidRDefault="002F2C07" w:rsidP="00F41782">
      <w:pPr>
        <w:pStyle w:val="BodyText"/>
        <w:spacing w:before="90"/>
      </w:pPr>
      <w:r w:rsidRPr="00F41782">
        <w:t>Section</w:t>
      </w:r>
      <w:r w:rsidRPr="00F41782">
        <w:rPr>
          <w:spacing w:val="-2"/>
        </w:rPr>
        <w:t xml:space="preserve"> </w:t>
      </w:r>
      <w:r w:rsidRPr="00F41782">
        <w:t>2.</w:t>
      </w:r>
      <w:r w:rsidRPr="00F41782">
        <w:rPr>
          <w:spacing w:val="58"/>
        </w:rPr>
        <w:t xml:space="preserve"> </w:t>
      </w:r>
      <w:r w:rsidRPr="00F41782">
        <w:t>This</w:t>
      </w:r>
      <w:r w:rsidRPr="00F41782">
        <w:rPr>
          <w:spacing w:val="-1"/>
        </w:rPr>
        <w:t xml:space="preserve"> </w:t>
      </w:r>
      <w:r w:rsidRPr="00F41782">
        <w:t>local</w:t>
      </w:r>
      <w:r w:rsidRPr="00F41782">
        <w:rPr>
          <w:spacing w:val="-1"/>
        </w:rPr>
        <w:t xml:space="preserve"> </w:t>
      </w:r>
      <w:r w:rsidRPr="00F41782">
        <w:t>law shall</w:t>
      </w:r>
      <w:r w:rsidRPr="00F41782">
        <w:rPr>
          <w:spacing w:val="-1"/>
        </w:rPr>
        <w:t xml:space="preserve"> </w:t>
      </w:r>
      <w:r w:rsidRPr="00F41782">
        <w:t>take</w:t>
      </w:r>
      <w:r w:rsidRPr="00F41782">
        <w:rPr>
          <w:spacing w:val="-3"/>
        </w:rPr>
        <w:t xml:space="preserve"> </w:t>
      </w:r>
      <w:r w:rsidRPr="00F41782">
        <w:t>effect</w:t>
      </w:r>
      <w:r w:rsidRPr="00F41782">
        <w:rPr>
          <w:spacing w:val="-1"/>
        </w:rPr>
        <w:t xml:space="preserve"> </w:t>
      </w:r>
      <w:r w:rsidRPr="00F41782">
        <w:t>upon</w:t>
      </w:r>
      <w:r w:rsidRPr="00F41782">
        <w:rPr>
          <w:spacing w:val="-1"/>
        </w:rPr>
        <w:t xml:space="preserve"> </w:t>
      </w:r>
      <w:r w:rsidRPr="00F41782">
        <w:t>filing</w:t>
      </w:r>
      <w:r w:rsidRPr="00F41782">
        <w:rPr>
          <w:spacing w:val="-3"/>
        </w:rPr>
        <w:t xml:space="preserve"> </w:t>
      </w:r>
      <w:r w:rsidRPr="00F41782">
        <w:t>with</w:t>
      </w:r>
      <w:r w:rsidRPr="00F41782">
        <w:rPr>
          <w:spacing w:val="-1"/>
        </w:rPr>
        <w:t xml:space="preserve"> </w:t>
      </w:r>
      <w:r w:rsidRPr="00F41782">
        <w:t>the</w:t>
      </w:r>
      <w:r w:rsidRPr="00F41782">
        <w:rPr>
          <w:spacing w:val="-1"/>
        </w:rPr>
        <w:t xml:space="preserve"> </w:t>
      </w:r>
      <w:r w:rsidRPr="00F41782">
        <w:t>Secretary</w:t>
      </w:r>
      <w:r w:rsidRPr="00F41782">
        <w:rPr>
          <w:spacing w:val="-6"/>
        </w:rPr>
        <w:t xml:space="preserve"> </w:t>
      </w:r>
      <w:r w:rsidRPr="00F41782">
        <w:t xml:space="preserve">of </w:t>
      </w:r>
      <w:r w:rsidRPr="00F41782">
        <w:rPr>
          <w:spacing w:val="-2"/>
        </w:rPr>
        <w:t>State.</w:t>
      </w:r>
    </w:p>
    <w:p w14:paraId="075FFBD3" w14:textId="77777777" w:rsidR="00F033BD" w:rsidRPr="00926A0D" w:rsidRDefault="00F033BD" w:rsidP="00926A0D">
      <w:pPr>
        <w:jc w:val="center"/>
      </w:pPr>
    </w:p>
    <w:sectPr w:rsidR="00F033BD" w:rsidRPr="00926A0D" w:rsidSect="00246F19">
      <w:footerReference w:type="even" r:id="rId8"/>
      <w:footerReference w:type="default" r:id="rId9"/>
      <w:footerReference w:type="first" r:id="rId10"/>
      <w:pgSz w:w="12240" w:h="15840"/>
      <w:pgMar w:top="900" w:right="1440" w:bottom="864"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FB67" w14:textId="77777777" w:rsidR="00F64036" w:rsidRDefault="00F64036" w:rsidP="00713E9D">
      <w:r>
        <w:separator/>
      </w:r>
    </w:p>
  </w:endnote>
  <w:endnote w:type="continuationSeparator" w:id="0">
    <w:p w14:paraId="52298E18" w14:textId="77777777" w:rsidR="00F64036" w:rsidRDefault="00F64036" w:rsidP="0071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70DD" w14:textId="77777777" w:rsidR="00853D2C" w:rsidRPr="00713E9D" w:rsidRDefault="00853D2C" w:rsidP="00C96888">
    <w:pPr>
      <w:pStyle w:val="Footer"/>
      <w:jc w:val="right"/>
      <w:rPr>
        <w:rStyle w:val="CustomFooter"/>
      </w:rPr>
    </w:pPr>
    <w:r w:rsidRPr="00C96888">
      <w:rPr>
        <w:rStyle w:val="CustomFooter"/>
      </w:rPr>
      <w:t>C&amp;F: 2785410.2</w:t>
    </w:r>
  </w:p>
  <w:p w14:paraId="719074B8" w14:textId="77777777" w:rsidR="00853D2C" w:rsidRDefault="00853D2C">
    <w:pPr>
      <w:pStyle w:val="Footer"/>
    </w:pPr>
  </w:p>
  <w:p w14:paraId="72B785CA"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6D01" w14:textId="77777777" w:rsidR="00853D2C" w:rsidRDefault="00000000">
    <w:pPr>
      <w:pStyle w:val="Footer"/>
      <w:jc w:val="center"/>
    </w:pPr>
    <w:sdt>
      <w:sdtPr>
        <w:id w:val="21668213"/>
        <w:docPartObj>
          <w:docPartGallery w:val="Page Numbers (Bottom of Page)"/>
          <w:docPartUnique/>
        </w:docPartObj>
      </w:sdtPr>
      <w:sdtContent>
        <w:r w:rsidR="00853D2C">
          <w:fldChar w:fldCharType="begin"/>
        </w:r>
        <w:r w:rsidR="00853D2C">
          <w:instrText xml:space="preserve"> PAGE   \* MERGEFORMAT </w:instrText>
        </w:r>
        <w:r w:rsidR="00853D2C">
          <w:fldChar w:fldCharType="separate"/>
        </w:r>
        <w:r w:rsidR="007A78E8">
          <w:rPr>
            <w:noProof/>
          </w:rPr>
          <w:t>3</w:t>
        </w:r>
        <w:r w:rsidR="00853D2C">
          <w:rPr>
            <w:noProof/>
          </w:rPr>
          <w:fldChar w:fldCharType="end"/>
        </w:r>
      </w:sdtContent>
    </w:sdt>
  </w:p>
  <w:p w14:paraId="6BA41FF9"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1B1" w14:textId="77777777" w:rsidR="00853D2C" w:rsidRPr="00713E9D" w:rsidRDefault="00853D2C" w:rsidP="00C96888">
    <w:pPr>
      <w:pStyle w:val="Footer"/>
      <w:jc w:val="right"/>
      <w:rPr>
        <w:rStyle w:val="CustomFooter"/>
      </w:rPr>
    </w:pPr>
    <w:r w:rsidRPr="00C96888">
      <w:rPr>
        <w:rStyle w:val="CustomFooter"/>
      </w:rPr>
      <w:t>C&amp;F: 2785410.2</w:t>
    </w:r>
  </w:p>
  <w:p w14:paraId="1F77D0D0" w14:textId="77777777" w:rsidR="00853D2C" w:rsidRDefault="0085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E550" w14:textId="77777777" w:rsidR="00F64036" w:rsidRDefault="00F64036" w:rsidP="00713E9D">
      <w:r>
        <w:separator/>
      </w:r>
    </w:p>
  </w:footnote>
  <w:footnote w:type="continuationSeparator" w:id="0">
    <w:p w14:paraId="26D137A2" w14:textId="77777777" w:rsidR="00F64036" w:rsidRDefault="00F64036" w:rsidP="0071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DB5"/>
    <w:multiLevelType w:val="hybridMultilevel"/>
    <w:tmpl w:val="5896E238"/>
    <w:lvl w:ilvl="0" w:tplc="274CD5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63D77"/>
    <w:multiLevelType w:val="hybridMultilevel"/>
    <w:tmpl w:val="6D6C5610"/>
    <w:lvl w:ilvl="0" w:tplc="5988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B3BE7"/>
    <w:multiLevelType w:val="hybridMultilevel"/>
    <w:tmpl w:val="BD723692"/>
    <w:lvl w:ilvl="0" w:tplc="E334F76C">
      <w:start w:val="1"/>
      <w:numFmt w:val="upperLetter"/>
      <w:lvlText w:val="%1."/>
      <w:lvlJc w:val="left"/>
      <w:pPr>
        <w:ind w:left="1360" w:hanging="48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8B81AA8">
      <w:numFmt w:val="bullet"/>
      <w:lvlText w:val="•"/>
      <w:lvlJc w:val="left"/>
      <w:pPr>
        <w:ind w:left="2260" w:hanging="480"/>
      </w:pPr>
      <w:rPr>
        <w:rFonts w:hint="default"/>
        <w:lang w:val="en-US" w:eastAsia="en-US" w:bidi="ar-SA"/>
      </w:rPr>
    </w:lvl>
    <w:lvl w:ilvl="2" w:tplc="E8AA8A32">
      <w:numFmt w:val="bullet"/>
      <w:lvlText w:val="•"/>
      <w:lvlJc w:val="left"/>
      <w:pPr>
        <w:ind w:left="3160" w:hanging="480"/>
      </w:pPr>
      <w:rPr>
        <w:rFonts w:hint="default"/>
        <w:lang w:val="en-US" w:eastAsia="en-US" w:bidi="ar-SA"/>
      </w:rPr>
    </w:lvl>
    <w:lvl w:ilvl="3" w:tplc="4616280C">
      <w:numFmt w:val="bullet"/>
      <w:lvlText w:val="•"/>
      <w:lvlJc w:val="left"/>
      <w:pPr>
        <w:ind w:left="4060" w:hanging="480"/>
      </w:pPr>
      <w:rPr>
        <w:rFonts w:hint="default"/>
        <w:lang w:val="en-US" w:eastAsia="en-US" w:bidi="ar-SA"/>
      </w:rPr>
    </w:lvl>
    <w:lvl w:ilvl="4" w:tplc="D20A89C0">
      <w:numFmt w:val="bullet"/>
      <w:lvlText w:val="•"/>
      <w:lvlJc w:val="left"/>
      <w:pPr>
        <w:ind w:left="4960" w:hanging="480"/>
      </w:pPr>
      <w:rPr>
        <w:rFonts w:hint="default"/>
        <w:lang w:val="en-US" w:eastAsia="en-US" w:bidi="ar-SA"/>
      </w:rPr>
    </w:lvl>
    <w:lvl w:ilvl="5" w:tplc="2F3ED2A0">
      <w:numFmt w:val="bullet"/>
      <w:lvlText w:val="•"/>
      <w:lvlJc w:val="left"/>
      <w:pPr>
        <w:ind w:left="5860" w:hanging="480"/>
      </w:pPr>
      <w:rPr>
        <w:rFonts w:hint="default"/>
        <w:lang w:val="en-US" w:eastAsia="en-US" w:bidi="ar-SA"/>
      </w:rPr>
    </w:lvl>
    <w:lvl w:ilvl="6" w:tplc="D10C4480">
      <w:numFmt w:val="bullet"/>
      <w:lvlText w:val="•"/>
      <w:lvlJc w:val="left"/>
      <w:pPr>
        <w:ind w:left="6760" w:hanging="480"/>
      </w:pPr>
      <w:rPr>
        <w:rFonts w:hint="default"/>
        <w:lang w:val="en-US" w:eastAsia="en-US" w:bidi="ar-SA"/>
      </w:rPr>
    </w:lvl>
    <w:lvl w:ilvl="7" w:tplc="4F5E2934">
      <w:numFmt w:val="bullet"/>
      <w:lvlText w:val="•"/>
      <w:lvlJc w:val="left"/>
      <w:pPr>
        <w:ind w:left="7660" w:hanging="480"/>
      </w:pPr>
      <w:rPr>
        <w:rFonts w:hint="default"/>
        <w:lang w:val="en-US" w:eastAsia="en-US" w:bidi="ar-SA"/>
      </w:rPr>
    </w:lvl>
    <w:lvl w:ilvl="8" w:tplc="F4B671AE">
      <w:numFmt w:val="bullet"/>
      <w:lvlText w:val="•"/>
      <w:lvlJc w:val="left"/>
      <w:pPr>
        <w:ind w:left="8560" w:hanging="480"/>
      </w:pPr>
      <w:rPr>
        <w:rFonts w:hint="default"/>
        <w:lang w:val="en-US" w:eastAsia="en-US" w:bidi="ar-SA"/>
      </w:rPr>
    </w:lvl>
  </w:abstractNum>
  <w:abstractNum w:abstractNumId="3" w15:restartNumberingAfterBreak="0">
    <w:nsid w:val="24934903"/>
    <w:multiLevelType w:val="hybridMultilevel"/>
    <w:tmpl w:val="80FCD90C"/>
    <w:lvl w:ilvl="0" w:tplc="56E4FE3C">
      <w:start w:val="1"/>
      <w:numFmt w:val="decimal"/>
      <w:lvlText w:val="%1."/>
      <w:lvlJc w:val="left"/>
      <w:pPr>
        <w:ind w:left="1000" w:hanging="540"/>
      </w:pPr>
      <w:rPr>
        <w:rFonts w:ascii="Courier New" w:eastAsia="Courier New" w:hAnsi="Courier New" w:hint="default"/>
        <w:spacing w:val="-1"/>
        <w:sz w:val="24"/>
        <w:szCs w:val="24"/>
      </w:rPr>
    </w:lvl>
    <w:lvl w:ilvl="1" w:tplc="EDB28900">
      <w:start w:val="1"/>
      <w:numFmt w:val="lowerLetter"/>
      <w:lvlText w:val="%2."/>
      <w:lvlJc w:val="left"/>
      <w:pPr>
        <w:ind w:left="1540" w:hanging="360"/>
      </w:pPr>
      <w:rPr>
        <w:rFonts w:ascii="Courier New" w:eastAsia="Courier New" w:hAnsi="Courier New" w:hint="default"/>
        <w:spacing w:val="-1"/>
        <w:sz w:val="24"/>
        <w:szCs w:val="24"/>
      </w:rPr>
    </w:lvl>
    <w:lvl w:ilvl="2" w:tplc="29C02F22">
      <w:start w:val="1"/>
      <w:numFmt w:val="lowerRoman"/>
      <w:lvlText w:val="%3."/>
      <w:lvlJc w:val="left"/>
      <w:pPr>
        <w:ind w:left="2260" w:hanging="468"/>
      </w:pPr>
      <w:rPr>
        <w:rFonts w:ascii="Courier New" w:eastAsia="Courier New" w:hAnsi="Courier New" w:hint="default"/>
        <w:spacing w:val="-1"/>
        <w:sz w:val="24"/>
        <w:szCs w:val="24"/>
      </w:rPr>
    </w:lvl>
    <w:lvl w:ilvl="3" w:tplc="82BCC3FC">
      <w:start w:val="1"/>
      <w:numFmt w:val="bullet"/>
      <w:lvlText w:val="•"/>
      <w:lvlJc w:val="left"/>
      <w:pPr>
        <w:ind w:left="1540" w:hanging="468"/>
      </w:pPr>
      <w:rPr>
        <w:rFonts w:hint="default"/>
      </w:rPr>
    </w:lvl>
    <w:lvl w:ilvl="4" w:tplc="2F2E66D0">
      <w:start w:val="1"/>
      <w:numFmt w:val="bullet"/>
      <w:lvlText w:val="•"/>
      <w:lvlJc w:val="left"/>
      <w:pPr>
        <w:ind w:left="2260" w:hanging="468"/>
      </w:pPr>
      <w:rPr>
        <w:rFonts w:hint="default"/>
      </w:rPr>
    </w:lvl>
    <w:lvl w:ilvl="5" w:tplc="AC0E193E">
      <w:start w:val="1"/>
      <w:numFmt w:val="bullet"/>
      <w:lvlText w:val="•"/>
      <w:lvlJc w:val="left"/>
      <w:pPr>
        <w:ind w:left="3460" w:hanging="468"/>
      </w:pPr>
      <w:rPr>
        <w:rFonts w:hint="default"/>
      </w:rPr>
    </w:lvl>
    <w:lvl w:ilvl="6" w:tplc="C87E2D24">
      <w:start w:val="1"/>
      <w:numFmt w:val="bullet"/>
      <w:lvlText w:val="•"/>
      <w:lvlJc w:val="left"/>
      <w:pPr>
        <w:ind w:left="4660" w:hanging="468"/>
      </w:pPr>
      <w:rPr>
        <w:rFonts w:hint="default"/>
      </w:rPr>
    </w:lvl>
    <w:lvl w:ilvl="7" w:tplc="29D41A76">
      <w:start w:val="1"/>
      <w:numFmt w:val="bullet"/>
      <w:lvlText w:val="•"/>
      <w:lvlJc w:val="left"/>
      <w:pPr>
        <w:ind w:left="5860" w:hanging="468"/>
      </w:pPr>
      <w:rPr>
        <w:rFonts w:hint="default"/>
      </w:rPr>
    </w:lvl>
    <w:lvl w:ilvl="8" w:tplc="61C06026">
      <w:start w:val="1"/>
      <w:numFmt w:val="bullet"/>
      <w:lvlText w:val="•"/>
      <w:lvlJc w:val="left"/>
      <w:pPr>
        <w:ind w:left="7060" w:hanging="468"/>
      </w:pPr>
      <w:rPr>
        <w:rFonts w:hint="default"/>
      </w:rPr>
    </w:lvl>
  </w:abstractNum>
  <w:abstractNum w:abstractNumId="4" w15:restartNumberingAfterBreak="0">
    <w:nsid w:val="2E232D8F"/>
    <w:multiLevelType w:val="hybridMultilevel"/>
    <w:tmpl w:val="2472A95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9467985"/>
    <w:multiLevelType w:val="hybridMultilevel"/>
    <w:tmpl w:val="7FCC305E"/>
    <w:lvl w:ilvl="0" w:tplc="D90E9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11457"/>
    <w:multiLevelType w:val="multilevel"/>
    <w:tmpl w:val="BF081732"/>
    <w:lvl w:ilvl="0">
      <w:start w:val="1"/>
      <w:numFmt w:val="decimal"/>
      <w:pStyle w:val="Heading1"/>
      <w:lvlText w:val="%1."/>
      <w:lvlJc w:val="left"/>
      <w:pPr>
        <w:tabs>
          <w:tab w:val="num" w:pos="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0" w:firstLine="2880"/>
      </w:pPr>
      <w:rPr>
        <w:rFonts w:hint="default"/>
      </w:rPr>
    </w:lvl>
    <w:lvl w:ilvl="5">
      <w:start w:val="1"/>
      <w:numFmt w:val="lowerRoman"/>
      <w:pStyle w:val="Heading6"/>
      <w:lvlText w:val="%6)"/>
      <w:lvlJc w:val="left"/>
      <w:pPr>
        <w:tabs>
          <w:tab w:val="num" w:pos="0"/>
        </w:tabs>
        <w:ind w:left="0" w:firstLine="3600"/>
      </w:pPr>
      <w:rPr>
        <w:rFonts w:hint="default"/>
      </w:rPr>
    </w:lvl>
    <w:lvl w:ilvl="6">
      <w:start w:val="1"/>
      <w:numFmt w:val="decimal"/>
      <w:pStyle w:val="Heading7"/>
      <w:lvlText w:val="%7."/>
      <w:lvlJc w:val="left"/>
      <w:pPr>
        <w:tabs>
          <w:tab w:val="num" w:pos="0"/>
        </w:tabs>
        <w:ind w:left="720" w:hanging="720"/>
      </w:pPr>
      <w:rPr>
        <w:rFonts w:hint="default"/>
      </w:rPr>
    </w:lvl>
    <w:lvl w:ilvl="7">
      <w:start w:val="1"/>
      <w:numFmt w:val="lowerLetter"/>
      <w:pStyle w:val="Heading8"/>
      <w:lvlText w:val="%8."/>
      <w:lvlJc w:val="left"/>
      <w:pPr>
        <w:tabs>
          <w:tab w:val="num" w:pos="0"/>
        </w:tabs>
        <w:ind w:left="1440" w:hanging="720"/>
      </w:pPr>
      <w:rPr>
        <w:rFonts w:hint="default"/>
      </w:rPr>
    </w:lvl>
    <w:lvl w:ilvl="8">
      <w:start w:val="1"/>
      <w:numFmt w:val="lowerRoman"/>
      <w:pStyle w:val="Heading9"/>
      <w:lvlText w:val="%9."/>
      <w:lvlJc w:val="left"/>
      <w:pPr>
        <w:tabs>
          <w:tab w:val="num" w:pos="0"/>
        </w:tabs>
        <w:ind w:left="2160" w:hanging="720"/>
      </w:pPr>
      <w:rPr>
        <w:rFonts w:hint="default"/>
      </w:rPr>
    </w:lvl>
  </w:abstractNum>
  <w:abstractNum w:abstractNumId="7" w15:restartNumberingAfterBreak="0">
    <w:nsid w:val="471C51F2"/>
    <w:multiLevelType w:val="hybridMultilevel"/>
    <w:tmpl w:val="0C3220BA"/>
    <w:lvl w:ilvl="0" w:tplc="5988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11AD0"/>
    <w:multiLevelType w:val="hybridMultilevel"/>
    <w:tmpl w:val="50F2DB42"/>
    <w:lvl w:ilvl="0" w:tplc="5988334E">
      <w:start w:val="1"/>
      <w:numFmt w:val="upperLetter"/>
      <w:lvlText w:val="%1."/>
      <w:lvlJc w:val="left"/>
      <w:pPr>
        <w:ind w:left="481" w:hanging="480"/>
        <w:jc w:val="left"/>
      </w:pPr>
      <w:rPr>
        <w:rFonts w:hint="default"/>
        <w:b w:val="0"/>
        <w:bCs w:val="0"/>
        <w:i w:val="0"/>
        <w:iCs w:val="0"/>
        <w:spacing w:val="-1"/>
        <w:w w:val="99"/>
        <w:sz w:val="24"/>
        <w:szCs w:val="24"/>
        <w:lang w:val="en-US" w:eastAsia="en-US" w:bidi="ar-SA"/>
      </w:rPr>
    </w:lvl>
    <w:lvl w:ilvl="1" w:tplc="8122735C">
      <w:numFmt w:val="bullet"/>
      <w:lvlText w:val="•"/>
      <w:lvlJc w:val="left"/>
      <w:pPr>
        <w:ind w:left="1381" w:hanging="480"/>
      </w:pPr>
      <w:rPr>
        <w:rFonts w:hint="default"/>
        <w:lang w:val="en-US" w:eastAsia="en-US" w:bidi="ar-SA"/>
      </w:rPr>
    </w:lvl>
    <w:lvl w:ilvl="2" w:tplc="1CAA1490">
      <w:numFmt w:val="bullet"/>
      <w:lvlText w:val="•"/>
      <w:lvlJc w:val="left"/>
      <w:pPr>
        <w:ind w:left="2281" w:hanging="480"/>
      </w:pPr>
      <w:rPr>
        <w:rFonts w:hint="default"/>
        <w:lang w:val="en-US" w:eastAsia="en-US" w:bidi="ar-SA"/>
      </w:rPr>
    </w:lvl>
    <w:lvl w:ilvl="3" w:tplc="48F09A20">
      <w:numFmt w:val="bullet"/>
      <w:lvlText w:val="•"/>
      <w:lvlJc w:val="left"/>
      <w:pPr>
        <w:ind w:left="3181" w:hanging="480"/>
      </w:pPr>
      <w:rPr>
        <w:rFonts w:hint="default"/>
        <w:lang w:val="en-US" w:eastAsia="en-US" w:bidi="ar-SA"/>
      </w:rPr>
    </w:lvl>
    <w:lvl w:ilvl="4" w:tplc="2452B292">
      <w:numFmt w:val="bullet"/>
      <w:lvlText w:val="•"/>
      <w:lvlJc w:val="left"/>
      <w:pPr>
        <w:ind w:left="4081" w:hanging="480"/>
      </w:pPr>
      <w:rPr>
        <w:rFonts w:hint="default"/>
        <w:lang w:val="en-US" w:eastAsia="en-US" w:bidi="ar-SA"/>
      </w:rPr>
    </w:lvl>
    <w:lvl w:ilvl="5" w:tplc="0C7658BC">
      <w:numFmt w:val="bullet"/>
      <w:lvlText w:val="•"/>
      <w:lvlJc w:val="left"/>
      <w:pPr>
        <w:ind w:left="4981" w:hanging="480"/>
      </w:pPr>
      <w:rPr>
        <w:rFonts w:hint="default"/>
        <w:lang w:val="en-US" w:eastAsia="en-US" w:bidi="ar-SA"/>
      </w:rPr>
    </w:lvl>
    <w:lvl w:ilvl="6" w:tplc="BADAC6F0">
      <w:numFmt w:val="bullet"/>
      <w:lvlText w:val="•"/>
      <w:lvlJc w:val="left"/>
      <w:pPr>
        <w:ind w:left="5881" w:hanging="480"/>
      </w:pPr>
      <w:rPr>
        <w:rFonts w:hint="default"/>
        <w:lang w:val="en-US" w:eastAsia="en-US" w:bidi="ar-SA"/>
      </w:rPr>
    </w:lvl>
    <w:lvl w:ilvl="7" w:tplc="5BF8979E">
      <w:numFmt w:val="bullet"/>
      <w:lvlText w:val="•"/>
      <w:lvlJc w:val="left"/>
      <w:pPr>
        <w:ind w:left="6781" w:hanging="480"/>
      </w:pPr>
      <w:rPr>
        <w:rFonts w:hint="default"/>
        <w:lang w:val="en-US" w:eastAsia="en-US" w:bidi="ar-SA"/>
      </w:rPr>
    </w:lvl>
    <w:lvl w:ilvl="8" w:tplc="19A8BC36">
      <w:numFmt w:val="bullet"/>
      <w:lvlText w:val="•"/>
      <w:lvlJc w:val="left"/>
      <w:pPr>
        <w:ind w:left="7681" w:hanging="480"/>
      </w:pPr>
      <w:rPr>
        <w:rFonts w:hint="default"/>
        <w:lang w:val="en-US" w:eastAsia="en-US" w:bidi="ar-SA"/>
      </w:rPr>
    </w:lvl>
  </w:abstractNum>
  <w:abstractNum w:abstractNumId="9" w15:restartNumberingAfterBreak="0">
    <w:nsid w:val="62B1685B"/>
    <w:multiLevelType w:val="hybridMultilevel"/>
    <w:tmpl w:val="5B90355C"/>
    <w:lvl w:ilvl="0" w:tplc="5988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3AF8"/>
    <w:multiLevelType w:val="hybridMultilevel"/>
    <w:tmpl w:val="E7205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9D0561"/>
    <w:multiLevelType w:val="hybridMultilevel"/>
    <w:tmpl w:val="24B6AE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3F0380"/>
    <w:multiLevelType w:val="hybridMultilevel"/>
    <w:tmpl w:val="796CA044"/>
    <w:lvl w:ilvl="0" w:tplc="3E023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459567">
    <w:abstractNumId w:val="6"/>
  </w:num>
  <w:num w:numId="2" w16cid:durableId="1308825639">
    <w:abstractNumId w:val="6"/>
  </w:num>
  <w:num w:numId="3" w16cid:durableId="1200817554">
    <w:abstractNumId w:val="6"/>
  </w:num>
  <w:num w:numId="4" w16cid:durableId="1906643979">
    <w:abstractNumId w:val="6"/>
  </w:num>
  <w:num w:numId="5" w16cid:durableId="1523472462">
    <w:abstractNumId w:val="6"/>
  </w:num>
  <w:num w:numId="6" w16cid:durableId="1075469186">
    <w:abstractNumId w:val="6"/>
  </w:num>
  <w:num w:numId="7" w16cid:durableId="1732733721">
    <w:abstractNumId w:val="6"/>
  </w:num>
  <w:num w:numId="8" w16cid:durableId="380174886">
    <w:abstractNumId w:val="6"/>
  </w:num>
  <w:num w:numId="9" w16cid:durableId="848327437">
    <w:abstractNumId w:val="6"/>
  </w:num>
  <w:num w:numId="10" w16cid:durableId="1706827544">
    <w:abstractNumId w:val="6"/>
  </w:num>
  <w:num w:numId="11" w16cid:durableId="1371760700">
    <w:abstractNumId w:val="6"/>
  </w:num>
  <w:num w:numId="12" w16cid:durableId="8722290">
    <w:abstractNumId w:val="6"/>
  </w:num>
  <w:num w:numId="13" w16cid:durableId="1083137186">
    <w:abstractNumId w:val="6"/>
  </w:num>
  <w:num w:numId="14" w16cid:durableId="948044002">
    <w:abstractNumId w:val="6"/>
  </w:num>
  <w:num w:numId="15" w16cid:durableId="6100633">
    <w:abstractNumId w:val="6"/>
  </w:num>
  <w:num w:numId="16" w16cid:durableId="2014064911">
    <w:abstractNumId w:val="6"/>
  </w:num>
  <w:num w:numId="17" w16cid:durableId="542444399">
    <w:abstractNumId w:val="6"/>
  </w:num>
  <w:num w:numId="18" w16cid:durableId="985936641">
    <w:abstractNumId w:val="6"/>
  </w:num>
  <w:num w:numId="19" w16cid:durableId="1479033828">
    <w:abstractNumId w:val="6"/>
  </w:num>
  <w:num w:numId="20" w16cid:durableId="71901281">
    <w:abstractNumId w:val="6"/>
  </w:num>
  <w:num w:numId="21" w16cid:durableId="1158574243">
    <w:abstractNumId w:val="6"/>
  </w:num>
  <w:num w:numId="22" w16cid:durableId="1548297666">
    <w:abstractNumId w:val="6"/>
  </w:num>
  <w:num w:numId="23" w16cid:durableId="852189579">
    <w:abstractNumId w:val="6"/>
  </w:num>
  <w:num w:numId="24" w16cid:durableId="627514941">
    <w:abstractNumId w:val="6"/>
  </w:num>
  <w:num w:numId="25" w16cid:durableId="1110321712">
    <w:abstractNumId w:val="6"/>
  </w:num>
  <w:num w:numId="26" w16cid:durableId="30345211">
    <w:abstractNumId w:val="11"/>
  </w:num>
  <w:num w:numId="27" w16cid:durableId="68700760">
    <w:abstractNumId w:val="3"/>
  </w:num>
  <w:num w:numId="28" w16cid:durableId="758214070">
    <w:abstractNumId w:val="10"/>
  </w:num>
  <w:num w:numId="29" w16cid:durableId="922445811">
    <w:abstractNumId w:val="4"/>
  </w:num>
  <w:num w:numId="30" w16cid:durableId="1343708083">
    <w:abstractNumId w:val="12"/>
  </w:num>
  <w:num w:numId="31" w16cid:durableId="658776583">
    <w:abstractNumId w:val="0"/>
  </w:num>
  <w:num w:numId="32" w16cid:durableId="1654329837">
    <w:abstractNumId w:val="5"/>
  </w:num>
  <w:num w:numId="33" w16cid:durableId="267322790">
    <w:abstractNumId w:val="9"/>
  </w:num>
  <w:num w:numId="34" w16cid:durableId="1630894186">
    <w:abstractNumId w:val="7"/>
  </w:num>
  <w:num w:numId="35" w16cid:durableId="178201220">
    <w:abstractNumId w:val="8"/>
  </w:num>
  <w:num w:numId="36" w16cid:durableId="1567835128">
    <w:abstractNumId w:val="2"/>
  </w:num>
  <w:num w:numId="37" w16cid:durableId="173712668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FE"/>
    <w:rsid w:val="00016673"/>
    <w:rsid w:val="00020051"/>
    <w:rsid w:val="000316DE"/>
    <w:rsid w:val="000341DB"/>
    <w:rsid w:val="00051BCC"/>
    <w:rsid w:val="00056CE7"/>
    <w:rsid w:val="000617FD"/>
    <w:rsid w:val="00063FA8"/>
    <w:rsid w:val="0007706D"/>
    <w:rsid w:val="00077D10"/>
    <w:rsid w:val="000909CE"/>
    <w:rsid w:val="000A5AB0"/>
    <w:rsid w:val="000B2254"/>
    <w:rsid w:val="000F0315"/>
    <w:rsid w:val="000F128D"/>
    <w:rsid w:val="000F13B2"/>
    <w:rsid w:val="000F5200"/>
    <w:rsid w:val="0013051A"/>
    <w:rsid w:val="00132748"/>
    <w:rsid w:val="001405AC"/>
    <w:rsid w:val="0014521C"/>
    <w:rsid w:val="0016199A"/>
    <w:rsid w:val="00162D22"/>
    <w:rsid w:val="00164323"/>
    <w:rsid w:val="001852C2"/>
    <w:rsid w:val="00186BBE"/>
    <w:rsid w:val="00190D81"/>
    <w:rsid w:val="001918CA"/>
    <w:rsid w:val="00191EAF"/>
    <w:rsid w:val="001B0ECD"/>
    <w:rsid w:val="001B5DC7"/>
    <w:rsid w:val="001B73BB"/>
    <w:rsid w:val="001C2F49"/>
    <w:rsid w:val="001D6CE3"/>
    <w:rsid w:val="00201381"/>
    <w:rsid w:val="00226C52"/>
    <w:rsid w:val="002305F6"/>
    <w:rsid w:val="00246F19"/>
    <w:rsid w:val="00250591"/>
    <w:rsid w:val="00250BEA"/>
    <w:rsid w:val="00253A9A"/>
    <w:rsid w:val="00255A29"/>
    <w:rsid w:val="002809E3"/>
    <w:rsid w:val="00282439"/>
    <w:rsid w:val="00287665"/>
    <w:rsid w:val="002B0011"/>
    <w:rsid w:val="002B3668"/>
    <w:rsid w:val="002C24A1"/>
    <w:rsid w:val="002C31EB"/>
    <w:rsid w:val="002C3BB1"/>
    <w:rsid w:val="002D7F55"/>
    <w:rsid w:val="002E5028"/>
    <w:rsid w:val="002F2C07"/>
    <w:rsid w:val="00321B1E"/>
    <w:rsid w:val="00330A67"/>
    <w:rsid w:val="00350D07"/>
    <w:rsid w:val="003554BB"/>
    <w:rsid w:val="00381E5C"/>
    <w:rsid w:val="00391831"/>
    <w:rsid w:val="00396676"/>
    <w:rsid w:val="00397DAA"/>
    <w:rsid w:val="003A3EBC"/>
    <w:rsid w:val="003A6087"/>
    <w:rsid w:val="003B661E"/>
    <w:rsid w:val="003C1917"/>
    <w:rsid w:val="003C2462"/>
    <w:rsid w:val="003D2AF8"/>
    <w:rsid w:val="003D4966"/>
    <w:rsid w:val="003D63D1"/>
    <w:rsid w:val="003E0090"/>
    <w:rsid w:val="003E3DD9"/>
    <w:rsid w:val="003E6B2E"/>
    <w:rsid w:val="004120FD"/>
    <w:rsid w:val="004263EF"/>
    <w:rsid w:val="0045286D"/>
    <w:rsid w:val="004612E5"/>
    <w:rsid w:val="00480817"/>
    <w:rsid w:val="004A183A"/>
    <w:rsid w:val="004A2253"/>
    <w:rsid w:val="004A2F88"/>
    <w:rsid w:val="004C2A59"/>
    <w:rsid w:val="004D1C02"/>
    <w:rsid w:val="004D5080"/>
    <w:rsid w:val="004E0D18"/>
    <w:rsid w:val="004E2E7E"/>
    <w:rsid w:val="004F7699"/>
    <w:rsid w:val="0050184D"/>
    <w:rsid w:val="00505B5A"/>
    <w:rsid w:val="00510C10"/>
    <w:rsid w:val="00513FC5"/>
    <w:rsid w:val="0052292D"/>
    <w:rsid w:val="00546AC6"/>
    <w:rsid w:val="00547324"/>
    <w:rsid w:val="005659F5"/>
    <w:rsid w:val="005661FF"/>
    <w:rsid w:val="0057646E"/>
    <w:rsid w:val="00577A3D"/>
    <w:rsid w:val="00583C1E"/>
    <w:rsid w:val="005C2C6F"/>
    <w:rsid w:val="005C6E4C"/>
    <w:rsid w:val="005D3BB5"/>
    <w:rsid w:val="00626ECD"/>
    <w:rsid w:val="00642DED"/>
    <w:rsid w:val="006452CB"/>
    <w:rsid w:val="006667A4"/>
    <w:rsid w:val="00670E3E"/>
    <w:rsid w:val="00673BF6"/>
    <w:rsid w:val="006751CC"/>
    <w:rsid w:val="00675DEB"/>
    <w:rsid w:val="00686C46"/>
    <w:rsid w:val="00694E88"/>
    <w:rsid w:val="006A2862"/>
    <w:rsid w:val="006B2A3D"/>
    <w:rsid w:val="006B4E44"/>
    <w:rsid w:val="006C159B"/>
    <w:rsid w:val="006D5098"/>
    <w:rsid w:val="006D7BA7"/>
    <w:rsid w:val="006E0021"/>
    <w:rsid w:val="00701CA3"/>
    <w:rsid w:val="00713E9D"/>
    <w:rsid w:val="00721574"/>
    <w:rsid w:val="00724429"/>
    <w:rsid w:val="00735D03"/>
    <w:rsid w:val="00740BB4"/>
    <w:rsid w:val="007522F3"/>
    <w:rsid w:val="007529CC"/>
    <w:rsid w:val="007639BA"/>
    <w:rsid w:val="00772EEF"/>
    <w:rsid w:val="0077578E"/>
    <w:rsid w:val="007769C9"/>
    <w:rsid w:val="00793025"/>
    <w:rsid w:val="00794E68"/>
    <w:rsid w:val="00797665"/>
    <w:rsid w:val="007A21F3"/>
    <w:rsid w:val="007A3734"/>
    <w:rsid w:val="007A78E8"/>
    <w:rsid w:val="007A7AF8"/>
    <w:rsid w:val="007A7BFE"/>
    <w:rsid w:val="007B29E1"/>
    <w:rsid w:val="007C0AE3"/>
    <w:rsid w:val="007D264F"/>
    <w:rsid w:val="007D3844"/>
    <w:rsid w:val="008142DD"/>
    <w:rsid w:val="00820E3A"/>
    <w:rsid w:val="0082168A"/>
    <w:rsid w:val="00821D77"/>
    <w:rsid w:val="00823012"/>
    <w:rsid w:val="00824989"/>
    <w:rsid w:val="0082552A"/>
    <w:rsid w:val="00831215"/>
    <w:rsid w:val="00846079"/>
    <w:rsid w:val="00850BE3"/>
    <w:rsid w:val="00853D2C"/>
    <w:rsid w:val="00854337"/>
    <w:rsid w:val="0085594A"/>
    <w:rsid w:val="00865AF7"/>
    <w:rsid w:val="008706EF"/>
    <w:rsid w:val="00872BB1"/>
    <w:rsid w:val="00873426"/>
    <w:rsid w:val="008C211E"/>
    <w:rsid w:val="008C491A"/>
    <w:rsid w:val="008C7156"/>
    <w:rsid w:val="008D4BA6"/>
    <w:rsid w:val="008E13FE"/>
    <w:rsid w:val="008E314C"/>
    <w:rsid w:val="008F1D11"/>
    <w:rsid w:val="00900C17"/>
    <w:rsid w:val="00904D1C"/>
    <w:rsid w:val="00915C44"/>
    <w:rsid w:val="00920BC2"/>
    <w:rsid w:val="00923101"/>
    <w:rsid w:val="00926A0D"/>
    <w:rsid w:val="0095190B"/>
    <w:rsid w:val="00980BD2"/>
    <w:rsid w:val="009926F4"/>
    <w:rsid w:val="0099574B"/>
    <w:rsid w:val="00996316"/>
    <w:rsid w:val="00996D68"/>
    <w:rsid w:val="009A5F25"/>
    <w:rsid w:val="009A6086"/>
    <w:rsid w:val="009B2406"/>
    <w:rsid w:val="009C6CC9"/>
    <w:rsid w:val="009F1FA1"/>
    <w:rsid w:val="009F3BB6"/>
    <w:rsid w:val="00A30C0B"/>
    <w:rsid w:val="00A311CD"/>
    <w:rsid w:val="00A51004"/>
    <w:rsid w:val="00A518B0"/>
    <w:rsid w:val="00A60F7A"/>
    <w:rsid w:val="00A644D5"/>
    <w:rsid w:val="00A65956"/>
    <w:rsid w:val="00A65A72"/>
    <w:rsid w:val="00A6665A"/>
    <w:rsid w:val="00A71053"/>
    <w:rsid w:val="00A72746"/>
    <w:rsid w:val="00A77FE9"/>
    <w:rsid w:val="00A96B62"/>
    <w:rsid w:val="00A96BF1"/>
    <w:rsid w:val="00AB372B"/>
    <w:rsid w:val="00AB6A5D"/>
    <w:rsid w:val="00AC39FE"/>
    <w:rsid w:val="00AD72D2"/>
    <w:rsid w:val="00AE0AC2"/>
    <w:rsid w:val="00AF1D8B"/>
    <w:rsid w:val="00B04D38"/>
    <w:rsid w:val="00B06E75"/>
    <w:rsid w:val="00B1189B"/>
    <w:rsid w:val="00B1696C"/>
    <w:rsid w:val="00B16F85"/>
    <w:rsid w:val="00B35643"/>
    <w:rsid w:val="00B35CF1"/>
    <w:rsid w:val="00B35D51"/>
    <w:rsid w:val="00B37249"/>
    <w:rsid w:val="00B41961"/>
    <w:rsid w:val="00B442F8"/>
    <w:rsid w:val="00B50EFC"/>
    <w:rsid w:val="00B57676"/>
    <w:rsid w:val="00B57D32"/>
    <w:rsid w:val="00B6117A"/>
    <w:rsid w:val="00B63A07"/>
    <w:rsid w:val="00B63D84"/>
    <w:rsid w:val="00B82DD1"/>
    <w:rsid w:val="00B8497F"/>
    <w:rsid w:val="00BA13F7"/>
    <w:rsid w:val="00BA2E4B"/>
    <w:rsid w:val="00BA49EB"/>
    <w:rsid w:val="00BA63C5"/>
    <w:rsid w:val="00BC5D32"/>
    <w:rsid w:val="00BD3EA6"/>
    <w:rsid w:val="00BD7D9D"/>
    <w:rsid w:val="00BD7E0B"/>
    <w:rsid w:val="00BE1266"/>
    <w:rsid w:val="00BE2811"/>
    <w:rsid w:val="00BF103E"/>
    <w:rsid w:val="00BF36BB"/>
    <w:rsid w:val="00BF7AD9"/>
    <w:rsid w:val="00C17FFE"/>
    <w:rsid w:val="00C63D92"/>
    <w:rsid w:val="00C67B22"/>
    <w:rsid w:val="00C9490E"/>
    <w:rsid w:val="00C95453"/>
    <w:rsid w:val="00C96888"/>
    <w:rsid w:val="00CA3D15"/>
    <w:rsid w:val="00CA61E9"/>
    <w:rsid w:val="00CB2A4A"/>
    <w:rsid w:val="00CC0EA0"/>
    <w:rsid w:val="00CC3DC2"/>
    <w:rsid w:val="00CD3768"/>
    <w:rsid w:val="00CD57F5"/>
    <w:rsid w:val="00D061CD"/>
    <w:rsid w:val="00D16317"/>
    <w:rsid w:val="00D16606"/>
    <w:rsid w:val="00D2280F"/>
    <w:rsid w:val="00D23F9E"/>
    <w:rsid w:val="00D40426"/>
    <w:rsid w:val="00D51CF2"/>
    <w:rsid w:val="00D57C5B"/>
    <w:rsid w:val="00D62E9A"/>
    <w:rsid w:val="00D6467E"/>
    <w:rsid w:val="00D6476C"/>
    <w:rsid w:val="00D649CA"/>
    <w:rsid w:val="00D66156"/>
    <w:rsid w:val="00D67AA9"/>
    <w:rsid w:val="00D75A65"/>
    <w:rsid w:val="00D75EEC"/>
    <w:rsid w:val="00D83156"/>
    <w:rsid w:val="00D92580"/>
    <w:rsid w:val="00DB6A45"/>
    <w:rsid w:val="00E005B3"/>
    <w:rsid w:val="00E02D2A"/>
    <w:rsid w:val="00E058B3"/>
    <w:rsid w:val="00E12182"/>
    <w:rsid w:val="00E167A1"/>
    <w:rsid w:val="00E2228E"/>
    <w:rsid w:val="00E26F7C"/>
    <w:rsid w:val="00E32431"/>
    <w:rsid w:val="00E35DF4"/>
    <w:rsid w:val="00E508DA"/>
    <w:rsid w:val="00E65729"/>
    <w:rsid w:val="00E720E9"/>
    <w:rsid w:val="00E81D5E"/>
    <w:rsid w:val="00E85EF1"/>
    <w:rsid w:val="00E8772F"/>
    <w:rsid w:val="00E90F9F"/>
    <w:rsid w:val="00E91501"/>
    <w:rsid w:val="00E97653"/>
    <w:rsid w:val="00ED06E9"/>
    <w:rsid w:val="00ED6436"/>
    <w:rsid w:val="00ED764A"/>
    <w:rsid w:val="00EE007B"/>
    <w:rsid w:val="00EE2FD9"/>
    <w:rsid w:val="00EE55E6"/>
    <w:rsid w:val="00EF1B57"/>
    <w:rsid w:val="00EF25C4"/>
    <w:rsid w:val="00EF2BFD"/>
    <w:rsid w:val="00F033BD"/>
    <w:rsid w:val="00F106D8"/>
    <w:rsid w:val="00F12641"/>
    <w:rsid w:val="00F23CC3"/>
    <w:rsid w:val="00F26812"/>
    <w:rsid w:val="00F358B1"/>
    <w:rsid w:val="00F41782"/>
    <w:rsid w:val="00F47AE0"/>
    <w:rsid w:val="00F601E4"/>
    <w:rsid w:val="00F64036"/>
    <w:rsid w:val="00F76A8D"/>
    <w:rsid w:val="00F832F4"/>
    <w:rsid w:val="00FA09FA"/>
    <w:rsid w:val="00FD4155"/>
    <w:rsid w:val="00FD600E"/>
    <w:rsid w:val="00FE045A"/>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F5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19"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14" w:unhideWhenUsed="1" w:qFormat="1"/>
    <w:lsdException w:name="Body Text First Indent 2" w:semiHidden="1" w:uiPriority="14" w:unhideWhenUsed="1" w:qFormat="1"/>
    <w:lsdException w:name="Note Heading" w:semiHidden="1" w:unhideWhenUsed="1"/>
    <w:lsdException w:name="Body Text 2" w:semiHidden="1" w:uiPriority="1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4" w:unhideWhenUsed="1" w:qFormat="1"/>
    <w:lsdException w:name="Hyperlink" w:semiHidden="1" w:unhideWhenUsed="1"/>
    <w:lsdException w:name="FollowedHyperlink" w:semiHidden="1" w:unhideWhenUsed="1"/>
    <w:lsdException w:name="Strong" w:uiPriority="64" w:qFormat="1"/>
    <w:lsdException w:name="Emphasis" w:uiPriority="6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4" w:qFormat="1"/>
    <w:lsdException w:name="Intense Quote" w:uiPriority="6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4" w:qFormat="1"/>
    <w:lsdException w:name="Intense Emphasis" w:uiPriority="64" w:qFormat="1"/>
    <w:lsdException w:name="Subtle Reference" w:uiPriority="64" w:qFormat="1"/>
    <w:lsdException w:name="Intense Reference" w:uiPriority="64" w:qFormat="1"/>
    <w:lsdException w:name="Book Title" w:uiPriority="64"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E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91501"/>
    <w:pPr>
      <w:numPr>
        <w:numId w:val="25"/>
      </w:numPr>
      <w:spacing w:after="240"/>
      <w:outlineLvl w:val="0"/>
    </w:pPr>
    <w:rPr>
      <w:rFonts w:eastAsiaTheme="majorEastAsia" w:cs="Arial"/>
      <w:szCs w:val="36"/>
    </w:rPr>
  </w:style>
  <w:style w:type="paragraph" w:styleId="Heading2">
    <w:name w:val="heading 2"/>
    <w:basedOn w:val="Normal"/>
    <w:link w:val="Heading2Char"/>
    <w:uiPriority w:val="9"/>
    <w:qFormat/>
    <w:rsid w:val="00E91501"/>
    <w:pPr>
      <w:numPr>
        <w:ilvl w:val="1"/>
        <w:numId w:val="25"/>
      </w:numPr>
      <w:spacing w:after="240"/>
      <w:outlineLvl w:val="1"/>
    </w:pPr>
    <w:rPr>
      <w:rFonts w:eastAsiaTheme="majorEastAsia" w:cs="Arial"/>
      <w:bCs/>
      <w:szCs w:val="28"/>
    </w:rPr>
  </w:style>
  <w:style w:type="paragraph" w:styleId="Heading3">
    <w:name w:val="heading 3"/>
    <w:basedOn w:val="Normal"/>
    <w:link w:val="Heading3Char"/>
    <w:uiPriority w:val="9"/>
    <w:qFormat/>
    <w:rsid w:val="00E91501"/>
    <w:pPr>
      <w:numPr>
        <w:ilvl w:val="2"/>
        <w:numId w:val="25"/>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E91501"/>
    <w:pPr>
      <w:numPr>
        <w:ilvl w:val="3"/>
        <w:numId w:val="25"/>
      </w:numPr>
      <w:spacing w:after="240"/>
      <w:outlineLvl w:val="3"/>
    </w:pPr>
    <w:rPr>
      <w:rFonts w:eastAsiaTheme="majorEastAsia" w:cs="Arial"/>
      <w:iCs/>
    </w:rPr>
  </w:style>
  <w:style w:type="paragraph" w:styleId="Heading5">
    <w:name w:val="heading 5"/>
    <w:basedOn w:val="Normal"/>
    <w:link w:val="Heading5Char"/>
    <w:uiPriority w:val="9"/>
    <w:semiHidden/>
    <w:unhideWhenUsed/>
    <w:qFormat/>
    <w:rsid w:val="00E91501"/>
    <w:pPr>
      <w:numPr>
        <w:ilvl w:val="4"/>
        <w:numId w:val="25"/>
      </w:num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E91501"/>
    <w:pPr>
      <w:numPr>
        <w:ilvl w:val="5"/>
        <w:numId w:val="25"/>
      </w:num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E91501"/>
    <w:pPr>
      <w:numPr>
        <w:ilvl w:val="6"/>
        <w:numId w:val="25"/>
      </w:num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E91501"/>
    <w:pPr>
      <w:numPr>
        <w:ilvl w:val="7"/>
        <w:numId w:val="25"/>
      </w:num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E91501"/>
    <w:pPr>
      <w:numPr>
        <w:ilvl w:val="8"/>
        <w:numId w:val="25"/>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01"/>
    <w:rPr>
      <w:rFonts w:ascii="Tahoma" w:hAnsi="Tahoma" w:cs="Tahoma"/>
      <w:sz w:val="16"/>
      <w:szCs w:val="16"/>
    </w:rPr>
  </w:style>
  <w:style w:type="character" w:customStyle="1" w:styleId="BalloonTextChar">
    <w:name w:val="Balloon Text Char"/>
    <w:basedOn w:val="DefaultParagraphFont"/>
    <w:link w:val="BalloonText"/>
    <w:uiPriority w:val="99"/>
    <w:semiHidden/>
    <w:rsid w:val="00E91501"/>
    <w:rPr>
      <w:rFonts w:ascii="Tahoma" w:hAnsi="Tahoma" w:cs="Tahoma"/>
      <w:sz w:val="16"/>
      <w:szCs w:val="16"/>
    </w:rPr>
  </w:style>
  <w:style w:type="paragraph" w:styleId="Bibliography">
    <w:name w:val="Bibliography"/>
    <w:basedOn w:val="Normal"/>
    <w:next w:val="Normal"/>
    <w:uiPriority w:val="37"/>
    <w:semiHidden/>
    <w:unhideWhenUsed/>
    <w:rsid w:val="00E91501"/>
  </w:style>
  <w:style w:type="paragraph" w:styleId="BlockText">
    <w:name w:val="Block Text"/>
    <w:basedOn w:val="Normal"/>
    <w:uiPriority w:val="14"/>
    <w:unhideWhenUsed/>
    <w:qFormat/>
    <w:rsid w:val="00E91501"/>
    <w:pPr>
      <w:spacing w:after="240"/>
      <w:ind w:left="1440" w:right="1440"/>
      <w:jc w:val="both"/>
    </w:pPr>
    <w:rPr>
      <w:rFonts w:eastAsiaTheme="minorEastAsia" w:cstheme="minorBidi"/>
      <w:iCs/>
    </w:rPr>
  </w:style>
  <w:style w:type="paragraph" w:styleId="BodyText">
    <w:name w:val="Body Text"/>
    <w:basedOn w:val="Normal"/>
    <w:link w:val="BodyTextChar"/>
    <w:uiPriority w:val="14"/>
    <w:qFormat/>
    <w:rsid w:val="00E91501"/>
    <w:pPr>
      <w:spacing w:after="240"/>
      <w:jc w:val="both"/>
    </w:pPr>
  </w:style>
  <w:style w:type="character" w:customStyle="1" w:styleId="BodyTextChar">
    <w:name w:val="Body Text Char"/>
    <w:basedOn w:val="DefaultParagraphFont"/>
    <w:link w:val="BodyText"/>
    <w:uiPriority w:val="14"/>
    <w:rsid w:val="00E91501"/>
    <w:rPr>
      <w:rFonts w:ascii="Times New Roman" w:hAnsi="Times New Roman" w:cs="Times New Roman"/>
      <w:sz w:val="24"/>
      <w:szCs w:val="24"/>
    </w:rPr>
  </w:style>
  <w:style w:type="paragraph" w:styleId="BodyText2">
    <w:name w:val="Body Text 2"/>
    <w:basedOn w:val="BodyText"/>
    <w:link w:val="BodyText2Char"/>
    <w:uiPriority w:val="14"/>
    <w:qFormat/>
    <w:rsid w:val="00E91501"/>
    <w:pPr>
      <w:spacing w:after="0" w:line="480" w:lineRule="auto"/>
    </w:pPr>
  </w:style>
  <w:style w:type="character" w:customStyle="1" w:styleId="BodyText2Char">
    <w:name w:val="Body Text 2 Char"/>
    <w:basedOn w:val="DefaultParagraphFont"/>
    <w:link w:val="BodyText2"/>
    <w:uiPriority w:val="14"/>
    <w:rsid w:val="00E91501"/>
    <w:rPr>
      <w:rFonts w:ascii="Times New Roman" w:hAnsi="Times New Roman" w:cs="Times New Roman"/>
      <w:sz w:val="24"/>
      <w:szCs w:val="24"/>
    </w:rPr>
  </w:style>
  <w:style w:type="paragraph" w:styleId="BodyText3">
    <w:name w:val="Body Text 3"/>
    <w:basedOn w:val="Normal"/>
    <w:link w:val="BodyText3Char"/>
    <w:uiPriority w:val="99"/>
    <w:semiHidden/>
    <w:unhideWhenUsed/>
    <w:rsid w:val="00E91501"/>
    <w:pPr>
      <w:spacing w:after="120"/>
    </w:pPr>
    <w:rPr>
      <w:sz w:val="16"/>
      <w:szCs w:val="16"/>
    </w:rPr>
  </w:style>
  <w:style w:type="character" w:customStyle="1" w:styleId="BodyText3Char">
    <w:name w:val="Body Text 3 Char"/>
    <w:basedOn w:val="DefaultParagraphFont"/>
    <w:link w:val="BodyText3"/>
    <w:uiPriority w:val="99"/>
    <w:semiHidden/>
    <w:rsid w:val="00E91501"/>
    <w:rPr>
      <w:rFonts w:ascii="Times New Roman" w:hAnsi="Times New Roman" w:cs="Times New Roman"/>
      <w:sz w:val="16"/>
      <w:szCs w:val="16"/>
    </w:rPr>
  </w:style>
  <w:style w:type="paragraph" w:styleId="BodyTextFirstIndent">
    <w:name w:val="Body Text First Indent"/>
    <w:basedOn w:val="BodyText"/>
    <w:link w:val="BodyTextFirstIndentChar"/>
    <w:uiPriority w:val="14"/>
    <w:qFormat/>
    <w:rsid w:val="00E91501"/>
    <w:pPr>
      <w:ind w:firstLine="720"/>
    </w:pPr>
  </w:style>
  <w:style w:type="character" w:customStyle="1" w:styleId="BodyTextFirstIndentChar">
    <w:name w:val="Body Text First Indent Char"/>
    <w:basedOn w:val="BodyTextChar"/>
    <w:link w:val="BodyTextFirstIndent"/>
    <w:uiPriority w:val="14"/>
    <w:rsid w:val="00E91501"/>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E91501"/>
    <w:pPr>
      <w:spacing w:after="120"/>
      <w:ind w:left="360"/>
    </w:pPr>
  </w:style>
  <w:style w:type="character" w:customStyle="1" w:styleId="BodyTextIndentChar">
    <w:name w:val="Body Text Indent Char"/>
    <w:basedOn w:val="DefaultParagraphFont"/>
    <w:link w:val="BodyTextIndent"/>
    <w:uiPriority w:val="99"/>
    <w:semiHidden/>
    <w:rsid w:val="00E91501"/>
    <w:rPr>
      <w:rFonts w:ascii="Times New Roman" w:hAnsi="Times New Roman" w:cs="Times New Roman"/>
      <w:sz w:val="24"/>
      <w:szCs w:val="24"/>
    </w:rPr>
  </w:style>
  <w:style w:type="paragraph" w:styleId="BodyTextFirstIndent2">
    <w:name w:val="Body Text First Indent 2"/>
    <w:basedOn w:val="BodyTextIndent"/>
    <w:link w:val="BodyTextFirstIndent2Char"/>
    <w:uiPriority w:val="14"/>
    <w:qFormat/>
    <w:rsid w:val="00E91501"/>
    <w:pPr>
      <w:spacing w:after="0" w:line="480" w:lineRule="auto"/>
      <w:ind w:left="0" w:firstLine="720"/>
      <w:jc w:val="both"/>
    </w:pPr>
  </w:style>
  <w:style w:type="character" w:customStyle="1" w:styleId="BodyTextFirstIndent2Char">
    <w:name w:val="Body Text First Indent 2 Char"/>
    <w:basedOn w:val="BodyTextIndentChar"/>
    <w:link w:val="BodyTextFirstIndent2"/>
    <w:uiPriority w:val="14"/>
    <w:rsid w:val="00E9150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91501"/>
    <w:pPr>
      <w:spacing w:after="120" w:line="480" w:lineRule="auto"/>
      <w:ind w:left="360"/>
    </w:pPr>
  </w:style>
  <w:style w:type="character" w:customStyle="1" w:styleId="BodyTextIndent2Char">
    <w:name w:val="Body Text Indent 2 Char"/>
    <w:basedOn w:val="DefaultParagraphFont"/>
    <w:link w:val="BodyTextIndent2"/>
    <w:uiPriority w:val="99"/>
    <w:semiHidden/>
    <w:rsid w:val="00E91501"/>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91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1501"/>
    <w:rPr>
      <w:rFonts w:ascii="Times New Roman" w:hAnsi="Times New Roman" w:cs="Times New Roman"/>
      <w:sz w:val="16"/>
      <w:szCs w:val="16"/>
    </w:rPr>
  </w:style>
  <w:style w:type="paragraph" w:styleId="Caption">
    <w:name w:val="caption"/>
    <w:basedOn w:val="Normal"/>
    <w:next w:val="Normal"/>
    <w:uiPriority w:val="35"/>
    <w:semiHidden/>
    <w:unhideWhenUsed/>
    <w:qFormat/>
    <w:rsid w:val="00E91501"/>
    <w:pPr>
      <w:spacing w:after="200"/>
    </w:pPr>
    <w:rPr>
      <w:b/>
      <w:bCs/>
      <w:color w:val="4F81BD" w:themeColor="accent1"/>
      <w:sz w:val="18"/>
      <w:szCs w:val="18"/>
    </w:rPr>
  </w:style>
  <w:style w:type="paragraph" w:styleId="Closing">
    <w:name w:val="Closing"/>
    <w:basedOn w:val="Normal"/>
    <w:link w:val="ClosingChar"/>
    <w:uiPriority w:val="99"/>
    <w:semiHidden/>
    <w:unhideWhenUsed/>
    <w:rsid w:val="00E91501"/>
    <w:pPr>
      <w:ind w:left="4320"/>
    </w:pPr>
  </w:style>
  <w:style w:type="character" w:customStyle="1" w:styleId="ClosingChar">
    <w:name w:val="Closing Char"/>
    <w:basedOn w:val="DefaultParagraphFont"/>
    <w:link w:val="Closing"/>
    <w:uiPriority w:val="99"/>
    <w:semiHidden/>
    <w:rsid w:val="00E91501"/>
    <w:rPr>
      <w:rFonts w:ascii="Times New Roman" w:hAnsi="Times New Roman" w:cs="Times New Roman"/>
      <w:sz w:val="24"/>
      <w:szCs w:val="24"/>
    </w:rPr>
  </w:style>
  <w:style w:type="paragraph" w:styleId="CommentText">
    <w:name w:val="annotation text"/>
    <w:basedOn w:val="Normal"/>
    <w:link w:val="CommentTextChar"/>
    <w:uiPriority w:val="99"/>
    <w:unhideWhenUsed/>
    <w:rsid w:val="00E91501"/>
    <w:rPr>
      <w:sz w:val="20"/>
      <w:szCs w:val="20"/>
    </w:rPr>
  </w:style>
  <w:style w:type="character" w:customStyle="1" w:styleId="CommentTextChar">
    <w:name w:val="Comment Text Char"/>
    <w:basedOn w:val="DefaultParagraphFont"/>
    <w:link w:val="CommentText"/>
    <w:uiPriority w:val="99"/>
    <w:rsid w:val="00E915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501"/>
    <w:rPr>
      <w:b/>
      <w:bCs/>
    </w:rPr>
  </w:style>
  <w:style w:type="character" w:customStyle="1" w:styleId="CommentSubjectChar">
    <w:name w:val="Comment Subject Char"/>
    <w:basedOn w:val="CommentTextChar"/>
    <w:link w:val="CommentSubject"/>
    <w:uiPriority w:val="99"/>
    <w:semiHidden/>
    <w:rsid w:val="00E91501"/>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E91501"/>
  </w:style>
  <w:style w:type="character" w:customStyle="1" w:styleId="DateChar">
    <w:name w:val="Date Char"/>
    <w:basedOn w:val="DefaultParagraphFont"/>
    <w:link w:val="Date"/>
    <w:uiPriority w:val="99"/>
    <w:semiHidden/>
    <w:rsid w:val="00E91501"/>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91501"/>
    <w:rPr>
      <w:rFonts w:ascii="Tahoma" w:hAnsi="Tahoma" w:cs="Tahoma"/>
      <w:sz w:val="16"/>
      <w:szCs w:val="16"/>
    </w:rPr>
  </w:style>
  <w:style w:type="character" w:customStyle="1" w:styleId="DocumentMapChar">
    <w:name w:val="Document Map Char"/>
    <w:basedOn w:val="DefaultParagraphFont"/>
    <w:link w:val="DocumentMap"/>
    <w:uiPriority w:val="99"/>
    <w:semiHidden/>
    <w:rsid w:val="00E91501"/>
    <w:rPr>
      <w:rFonts w:ascii="Tahoma" w:hAnsi="Tahoma" w:cs="Tahoma"/>
      <w:sz w:val="16"/>
      <w:szCs w:val="16"/>
    </w:rPr>
  </w:style>
  <w:style w:type="paragraph" w:styleId="E-mailSignature">
    <w:name w:val="E-mail Signature"/>
    <w:basedOn w:val="Normal"/>
    <w:link w:val="E-mailSignatureChar"/>
    <w:uiPriority w:val="99"/>
    <w:semiHidden/>
    <w:unhideWhenUsed/>
    <w:rsid w:val="00E91501"/>
  </w:style>
  <w:style w:type="character" w:customStyle="1" w:styleId="E-mailSignatureChar">
    <w:name w:val="E-mail Signature Char"/>
    <w:basedOn w:val="DefaultParagraphFont"/>
    <w:link w:val="E-mailSignature"/>
    <w:uiPriority w:val="99"/>
    <w:semiHidden/>
    <w:rsid w:val="00E91501"/>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91501"/>
    <w:rPr>
      <w:sz w:val="20"/>
      <w:szCs w:val="20"/>
    </w:rPr>
  </w:style>
  <w:style w:type="character" w:customStyle="1" w:styleId="EndnoteTextChar">
    <w:name w:val="Endnote Text Char"/>
    <w:basedOn w:val="DefaultParagraphFont"/>
    <w:link w:val="EndnoteText"/>
    <w:uiPriority w:val="99"/>
    <w:semiHidden/>
    <w:rsid w:val="00E91501"/>
    <w:rPr>
      <w:rFonts w:ascii="Times New Roman" w:hAnsi="Times New Roman" w:cs="Times New Roman"/>
      <w:sz w:val="20"/>
      <w:szCs w:val="20"/>
    </w:rPr>
  </w:style>
  <w:style w:type="paragraph" w:styleId="EnvelopeAddress">
    <w:name w:val="envelope address"/>
    <w:basedOn w:val="Normal"/>
    <w:uiPriority w:val="99"/>
    <w:semiHidden/>
    <w:unhideWhenUsed/>
    <w:rsid w:val="00E9150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91501"/>
    <w:rPr>
      <w:rFonts w:asciiTheme="majorHAnsi" w:eastAsiaTheme="majorEastAsia" w:hAnsiTheme="majorHAnsi" w:cstheme="majorBidi"/>
      <w:sz w:val="20"/>
      <w:szCs w:val="20"/>
    </w:rPr>
  </w:style>
  <w:style w:type="paragraph" w:styleId="Footer">
    <w:name w:val="footer"/>
    <w:basedOn w:val="Normal"/>
    <w:link w:val="FooterChar"/>
    <w:uiPriority w:val="99"/>
    <w:rsid w:val="00E91501"/>
    <w:pPr>
      <w:tabs>
        <w:tab w:val="center" w:pos="4680"/>
        <w:tab w:val="right" w:pos="9360"/>
      </w:tabs>
    </w:pPr>
  </w:style>
  <w:style w:type="character" w:customStyle="1" w:styleId="FooterChar">
    <w:name w:val="Footer Char"/>
    <w:basedOn w:val="DefaultParagraphFont"/>
    <w:link w:val="Footer"/>
    <w:uiPriority w:val="99"/>
    <w:rsid w:val="00E9150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91501"/>
    <w:rPr>
      <w:sz w:val="20"/>
      <w:szCs w:val="20"/>
    </w:rPr>
  </w:style>
  <w:style w:type="character" w:customStyle="1" w:styleId="FootnoteTextChar">
    <w:name w:val="Footnote Text Char"/>
    <w:basedOn w:val="DefaultParagraphFont"/>
    <w:link w:val="FootnoteText"/>
    <w:uiPriority w:val="99"/>
    <w:semiHidden/>
    <w:rsid w:val="00E91501"/>
    <w:rPr>
      <w:rFonts w:ascii="Times New Roman" w:hAnsi="Times New Roman" w:cs="Times New Roman"/>
      <w:sz w:val="20"/>
      <w:szCs w:val="20"/>
    </w:rPr>
  </w:style>
  <w:style w:type="paragraph" w:styleId="Header">
    <w:name w:val="header"/>
    <w:basedOn w:val="Normal"/>
    <w:link w:val="HeaderChar"/>
    <w:uiPriority w:val="19"/>
    <w:rsid w:val="00E91501"/>
    <w:pPr>
      <w:tabs>
        <w:tab w:val="center" w:pos="4680"/>
        <w:tab w:val="right" w:pos="9360"/>
      </w:tabs>
    </w:pPr>
  </w:style>
  <w:style w:type="character" w:customStyle="1" w:styleId="HeaderChar">
    <w:name w:val="Header Char"/>
    <w:basedOn w:val="DefaultParagraphFont"/>
    <w:link w:val="Header"/>
    <w:uiPriority w:val="19"/>
    <w:rsid w:val="00E91501"/>
    <w:rPr>
      <w:rFonts w:ascii="Times New Roman" w:hAnsi="Times New Roman" w:cs="Times New Roman"/>
      <w:sz w:val="24"/>
      <w:szCs w:val="24"/>
    </w:rPr>
  </w:style>
  <w:style w:type="character" w:customStyle="1" w:styleId="Heading1Char">
    <w:name w:val="Heading 1 Char"/>
    <w:basedOn w:val="DefaultParagraphFont"/>
    <w:link w:val="Heading1"/>
    <w:uiPriority w:val="9"/>
    <w:rsid w:val="00E91501"/>
    <w:rPr>
      <w:rFonts w:ascii="Times New Roman" w:eastAsiaTheme="majorEastAsia" w:hAnsi="Times New Roman" w:cs="Arial"/>
      <w:sz w:val="24"/>
      <w:szCs w:val="36"/>
    </w:rPr>
  </w:style>
  <w:style w:type="character" w:customStyle="1" w:styleId="Heading2Char">
    <w:name w:val="Heading 2 Char"/>
    <w:basedOn w:val="DefaultParagraphFont"/>
    <w:link w:val="Heading2"/>
    <w:uiPriority w:val="9"/>
    <w:rsid w:val="00E91501"/>
    <w:rPr>
      <w:rFonts w:ascii="Times New Roman" w:eastAsiaTheme="majorEastAsia" w:hAnsi="Times New Roman" w:cs="Arial"/>
      <w:bCs/>
      <w:sz w:val="24"/>
      <w:szCs w:val="28"/>
    </w:rPr>
  </w:style>
  <w:style w:type="character" w:customStyle="1" w:styleId="Heading3Char">
    <w:name w:val="Heading 3 Char"/>
    <w:basedOn w:val="DefaultParagraphFont"/>
    <w:link w:val="Heading3"/>
    <w:uiPriority w:val="9"/>
    <w:rsid w:val="00E91501"/>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9"/>
    <w:semiHidden/>
    <w:rsid w:val="00E91501"/>
    <w:rPr>
      <w:rFonts w:ascii="Times New Roman" w:eastAsiaTheme="majorEastAsia" w:hAnsi="Times New Roman" w:cs="Arial"/>
      <w:iCs/>
      <w:sz w:val="24"/>
      <w:szCs w:val="24"/>
    </w:rPr>
  </w:style>
  <w:style w:type="character" w:customStyle="1" w:styleId="Heading5Char">
    <w:name w:val="Heading 5 Char"/>
    <w:basedOn w:val="DefaultParagraphFont"/>
    <w:link w:val="Heading5"/>
    <w:uiPriority w:val="9"/>
    <w:semiHidden/>
    <w:rsid w:val="00E9150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E91501"/>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E91501"/>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9"/>
    <w:semiHidden/>
    <w:rsid w:val="00E91501"/>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E91501"/>
    <w:rPr>
      <w:rFonts w:ascii="Times New Roman" w:eastAsiaTheme="majorEastAsia" w:hAnsi="Times New Roman" w:cstheme="majorBidi"/>
      <w:iCs/>
      <w:sz w:val="24"/>
      <w:szCs w:val="20"/>
    </w:rPr>
  </w:style>
  <w:style w:type="paragraph" w:styleId="HTMLAddress">
    <w:name w:val="HTML Address"/>
    <w:basedOn w:val="Normal"/>
    <w:link w:val="HTMLAddressChar"/>
    <w:uiPriority w:val="99"/>
    <w:semiHidden/>
    <w:unhideWhenUsed/>
    <w:rsid w:val="00E91501"/>
    <w:rPr>
      <w:i/>
      <w:iCs/>
    </w:rPr>
  </w:style>
  <w:style w:type="character" w:customStyle="1" w:styleId="HTMLAddressChar">
    <w:name w:val="HTML Address Char"/>
    <w:basedOn w:val="DefaultParagraphFont"/>
    <w:link w:val="HTMLAddress"/>
    <w:uiPriority w:val="99"/>
    <w:semiHidden/>
    <w:rsid w:val="00E91501"/>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9150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91501"/>
    <w:rPr>
      <w:rFonts w:ascii="Consolas" w:hAnsi="Consolas" w:cs="Times New Roman"/>
      <w:sz w:val="20"/>
      <w:szCs w:val="20"/>
    </w:rPr>
  </w:style>
  <w:style w:type="paragraph" w:styleId="Index1">
    <w:name w:val="index 1"/>
    <w:basedOn w:val="Normal"/>
    <w:next w:val="Normal"/>
    <w:autoRedefine/>
    <w:uiPriority w:val="99"/>
    <w:semiHidden/>
    <w:unhideWhenUsed/>
    <w:rsid w:val="00E91501"/>
    <w:pPr>
      <w:ind w:left="240" w:hanging="240"/>
    </w:pPr>
  </w:style>
  <w:style w:type="paragraph" w:styleId="Index2">
    <w:name w:val="index 2"/>
    <w:basedOn w:val="Normal"/>
    <w:next w:val="Normal"/>
    <w:autoRedefine/>
    <w:uiPriority w:val="99"/>
    <w:semiHidden/>
    <w:unhideWhenUsed/>
    <w:rsid w:val="00E91501"/>
    <w:pPr>
      <w:ind w:left="480" w:hanging="240"/>
    </w:pPr>
  </w:style>
  <w:style w:type="paragraph" w:styleId="Index3">
    <w:name w:val="index 3"/>
    <w:basedOn w:val="Normal"/>
    <w:next w:val="Normal"/>
    <w:autoRedefine/>
    <w:uiPriority w:val="99"/>
    <w:semiHidden/>
    <w:unhideWhenUsed/>
    <w:rsid w:val="00E91501"/>
    <w:pPr>
      <w:ind w:left="720" w:hanging="240"/>
    </w:pPr>
  </w:style>
  <w:style w:type="paragraph" w:styleId="Index4">
    <w:name w:val="index 4"/>
    <w:basedOn w:val="Normal"/>
    <w:next w:val="Normal"/>
    <w:autoRedefine/>
    <w:uiPriority w:val="99"/>
    <w:semiHidden/>
    <w:unhideWhenUsed/>
    <w:rsid w:val="00E91501"/>
    <w:pPr>
      <w:ind w:left="960" w:hanging="240"/>
    </w:pPr>
  </w:style>
  <w:style w:type="paragraph" w:styleId="Index5">
    <w:name w:val="index 5"/>
    <w:basedOn w:val="Normal"/>
    <w:next w:val="Normal"/>
    <w:autoRedefine/>
    <w:uiPriority w:val="99"/>
    <w:semiHidden/>
    <w:unhideWhenUsed/>
    <w:rsid w:val="00E91501"/>
    <w:pPr>
      <w:ind w:left="1200" w:hanging="240"/>
    </w:pPr>
  </w:style>
  <w:style w:type="paragraph" w:styleId="Index6">
    <w:name w:val="index 6"/>
    <w:basedOn w:val="Normal"/>
    <w:next w:val="Normal"/>
    <w:autoRedefine/>
    <w:uiPriority w:val="99"/>
    <w:semiHidden/>
    <w:unhideWhenUsed/>
    <w:rsid w:val="00E91501"/>
    <w:pPr>
      <w:ind w:left="1440" w:hanging="240"/>
    </w:pPr>
  </w:style>
  <w:style w:type="paragraph" w:styleId="Index7">
    <w:name w:val="index 7"/>
    <w:basedOn w:val="Normal"/>
    <w:next w:val="Normal"/>
    <w:autoRedefine/>
    <w:uiPriority w:val="99"/>
    <w:semiHidden/>
    <w:unhideWhenUsed/>
    <w:rsid w:val="00E91501"/>
    <w:pPr>
      <w:ind w:left="1680" w:hanging="240"/>
    </w:pPr>
  </w:style>
  <w:style w:type="paragraph" w:styleId="Index8">
    <w:name w:val="index 8"/>
    <w:basedOn w:val="Normal"/>
    <w:next w:val="Normal"/>
    <w:autoRedefine/>
    <w:uiPriority w:val="99"/>
    <w:semiHidden/>
    <w:unhideWhenUsed/>
    <w:rsid w:val="00E91501"/>
    <w:pPr>
      <w:ind w:left="1920" w:hanging="240"/>
    </w:pPr>
  </w:style>
  <w:style w:type="paragraph" w:styleId="Index9">
    <w:name w:val="index 9"/>
    <w:basedOn w:val="Normal"/>
    <w:next w:val="Normal"/>
    <w:autoRedefine/>
    <w:uiPriority w:val="99"/>
    <w:semiHidden/>
    <w:unhideWhenUsed/>
    <w:rsid w:val="00E91501"/>
    <w:pPr>
      <w:ind w:left="2160" w:hanging="240"/>
    </w:pPr>
  </w:style>
  <w:style w:type="paragraph" w:styleId="IndexHeading">
    <w:name w:val="index heading"/>
    <w:basedOn w:val="Normal"/>
    <w:next w:val="Index1"/>
    <w:uiPriority w:val="99"/>
    <w:semiHidden/>
    <w:unhideWhenUsed/>
    <w:rsid w:val="00E91501"/>
    <w:rPr>
      <w:rFonts w:asciiTheme="majorHAnsi" w:eastAsiaTheme="majorEastAsia" w:hAnsiTheme="majorHAnsi" w:cstheme="majorBidi"/>
      <w:b/>
      <w:bCs/>
    </w:rPr>
  </w:style>
  <w:style w:type="paragraph" w:styleId="IntenseQuote">
    <w:name w:val="Intense Quote"/>
    <w:basedOn w:val="Normal"/>
    <w:next w:val="Normal"/>
    <w:link w:val="IntenseQuoteChar"/>
    <w:uiPriority w:val="64"/>
    <w:semiHidden/>
    <w:rsid w:val="00E91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4"/>
    <w:semiHidden/>
    <w:rsid w:val="00E91501"/>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E91501"/>
    <w:pPr>
      <w:ind w:left="360" w:hanging="360"/>
      <w:contextualSpacing/>
    </w:pPr>
  </w:style>
  <w:style w:type="paragraph" w:styleId="MacroText">
    <w:name w:val="macro"/>
    <w:link w:val="MacroTextChar"/>
    <w:uiPriority w:val="99"/>
    <w:semiHidden/>
    <w:unhideWhenUsed/>
    <w:rsid w:val="00E915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E91501"/>
    <w:rPr>
      <w:rFonts w:ascii="Consolas" w:hAnsi="Consolas" w:cs="Times New Roman"/>
      <w:sz w:val="20"/>
      <w:szCs w:val="20"/>
    </w:rPr>
  </w:style>
  <w:style w:type="paragraph" w:styleId="MessageHeader">
    <w:name w:val="Message Header"/>
    <w:basedOn w:val="Normal"/>
    <w:link w:val="MessageHeaderChar"/>
    <w:uiPriority w:val="99"/>
    <w:semiHidden/>
    <w:unhideWhenUsed/>
    <w:rsid w:val="00E91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91501"/>
    <w:rPr>
      <w:rFonts w:asciiTheme="majorHAnsi" w:eastAsiaTheme="majorEastAsia" w:hAnsiTheme="majorHAnsi" w:cstheme="majorBidi"/>
      <w:sz w:val="24"/>
      <w:szCs w:val="24"/>
      <w:shd w:val="pct20" w:color="auto" w:fill="auto"/>
    </w:rPr>
  </w:style>
  <w:style w:type="paragraph" w:styleId="NoSpacing">
    <w:name w:val="No Spacing"/>
    <w:uiPriority w:val="1"/>
    <w:semiHidden/>
    <w:rsid w:val="00E91501"/>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E91501"/>
  </w:style>
  <w:style w:type="paragraph" w:styleId="NormalIndent">
    <w:name w:val="Normal Indent"/>
    <w:basedOn w:val="Normal"/>
    <w:uiPriority w:val="99"/>
    <w:semiHidden/>
    <w:unhideWhenUsed/>
    <w:rsid w:val="00E91501"/>
    <w:pPr>
      <w:ind w:left="720"/>
    </w:pPr>
  </w:style>
  <w:style w:type="paragraph" w:styleId="NoteHeading">
    <w:name w:val="Note Heading"/>
    <w:basedOn w:val="Normal"/>
    <w:next w:val="Normal"/>
    <w:link w:val="NoteHeadingChar"/>
    <w:uiPriority w:val="99"/>
    <w:semiHidden/>
    <w:unhideWhenUsed/>
    <w:rsid w:val="00E91501"/>
  </w:style>
  <w:style w:type="character" w:customStyle="1" w:styleId="NoteHeadingChar">
    <w:name w:val="Note Heading Char"/>
    <w:basedOn w:val="DefaultParagraphFont"/>
    <w:link w:val="NoteHeading"/>
    <w:uiPriority w:val="99"/>
    <w:semiHidden/>
    <w:rsid w:val="00E91501"/>
    <w:rPr>
      <w:rFonts w:ascii="Times New Roman" w:hAnsi="Times New Roman" w:cs="Times New Roman"/>
      <w:sz w:val="24"/>
      <w:szCs w:val="24"/>
    </w:rPr>
  </w:style>
  <w:style w:type="paragraph" w:styleId="PlainText">
    <w:name w:val="Plain Text"/>
    <w:basedOn w:val="Normal"/>
    <w:link w:val="PlainTextChar"/>
    <w:uiPriority w:val="99"/>
    <w:semiHidden/>
    <w:unhideWhenUsed/>
    <w:rsid w:val="00E91501"/>
    <w:rPr>
      <w:rFonts w:ascii="Consolas" w:hAnsi="Consolas"/>
      <w:sz w:val="21"/>
      <w:szCs w:val="21"/>
    </w:rPr>
  </w:style>
  <w:style w:type="character" w:customStyle="1" w:styleId="PlainTextChar">
    <w:name w:val="Plain Text Char"/>
    <w:basedOn w:val="DefaultParagraphFont"/>
    <w:link w:val="PlainText"/>
    <w:uiPriority w:val="99"/>
    <w:semiHidden/>
    <w:rsid w:val="00E91501"/>
    <w:rPr>
      <w:rFonts w:ascii="Consolas" w:hAnsi="Consolas" w:cs="Times New Roman"/>
      <w:sz w:val="21"/>
      <w:szCs w:val="21"/>
    </w:rPr>
  </w:style>
  <w:style w:type="paragraph" w:styleId="Quote">
    <w:name w:val="Quote"/>
    <w:basedOn w:val="Normal"/>
    <w:next w:val="Normal"/>
    <w:link w:val="QuoteChar"/>
    <w:uiPriority w:val="14"/>
    <w:rsid w:val="00E91501"/>
    <w:pPr>
      <w:spacing w:after="240"/>
      <w:ind w:left="1440" w:right="1440"/>
      <w:jc w:val="both"/>
    </w:pPr>
    <w:rPr>
      <w:iCs/>
    </w:rPr>
  </w:style>
  <w:style w:type="character" w:customStyle="1" w:styleId="QuoteChar">
    <w:name w:val="Quote Char"/>
    <w:basedOn w:val="DefaultParagraphFont"/>
    <w:link w:val="Quote"/>
    <w:uiPriority w:val="14"/>
    <w:rsid w:val="00E91501"/>
    <w:rPr>
      <w:rFonts w:ascii="Times New Roman" w:hAnsi="Times New Roman" w:cs="Times New Roman"/>
      <w:iCs/>
      <w:sz w:val="24"/>
      <w:szCs w:val="24"/>
    </w:rPr>
  </w:style>
  <w:style w:type="paragraph" w:styleId="Salutation">
    <w:name w:val="Salutation"/>
    <w:basedOn w:val="Normal"/>
    <w:next w:val="Normal"/>
    <w:link w:val="SalutationChar"/>
    <w:uiPriority w:val="99"/>
    <w:semiHidden/>
    <w:unhideWhenUsed/>
    <w:rsid w:val="00E91501"/>
  </w:style>
  <w:style w:type="character" w:customStyle="1" w:styleId="SalutationChar">
    <w:name w:val="Salutation Char"/>
    <w:basedOn w:val="DefaultParagraphFont"/>
    <w:link w:val="Salutation"/>
    <w:uiPriority w:val="99"/>
    <w:semiHidden/>
    <w:rsid w:val="00E91501"/>
    <w:rPr>
      <w:rFonts w:ascii="Times New Roman" w:hAnsi="Times New Roman" w:cs="Times New Roman"/>
      <w:sz w:val="24"/>
      <w:szCs w:val="24"/>
    </w:rPr>
  </w:style>
  <w:style w:type="paragraph" w:styleId="Signature">
    <w:name w:val="Signature"/>
    <w:basedOn w:val="Normal"/>
    <w:link w:val="SignatureChar"/>
    <w:uiPriority w:val="19"/>
    <w:rsid w:val="00E91501"/>
    <w:pPr>
      <w:tabs>
        <w:tab w:val="right" w:leader="underscore" w:pos="9360"/>
      </w:tabs>
      <w:spacing w:after="240"/>
      <w:ind w:left="4680"/>
      <w:contextualSpacing/>
    </w:pPr>
  </w:style>
  <w:style w:type="character" w:customStyle="1" w:styleId="SignatureChar">
    <w:name w:val="Signature Char"/>
    <w:basedOn w:val="DefaultParagraphFont"/>
    <w:link w:val="Signature"/>
    <w:uiPriority w:val="19"/>
    <w:rsid w:val="00E91501"/>
    <w:rPr>
      <w:rFonts w:ascii="Times New Roman" w:hAnsi="Times New Roman" w:cs="Times New Roman"/>
      <w:sz w:val="24"/>
      <w:szCs w:val="24"/>
    </w:rPr>
  </w:style>
  <w:style w:type="paragraph" w:styleId="Subtitle">
    <w:name w:val="Subtitle"/>
    <w:basedOn w:val="Normal"/>
    <w:next w:val="BodyText"/>
    <w:link w:val="SubtitleChar"/>
    <w:uiPriority w:val="5"/>
    <w:qFormat/>
    <w:rsid w:val="00E91501"/>
    <w:pPr>
      <w:numPr>
        <w:ilvl w:val="1"/>
      </w:numPr>
      <w:spacing w:after="240"/>
      <w:contextualSpacing/>
    </w:pPr>
    <w:rPr>
      <w:rFonts w:eastAsiaTheme="majorEastAsia" w:cstheme="majorBidi"/>
      <w:iCs/>
      <w:u w:val="single"/>
    </w:rPr>
  </w:style>
  <w:style w:type="character" w:customStyle="1" w:styleId="SubtitleChar">
    <w:name w:val="Subtitle Char"/>
    <w:basedOn w:val="DefaultParagraphFont"/>
    <w:link w:val="Subtitle"/>
    <w:uiPriority w:val="5"/>
    <w:rsid w:val="00E91501"/>
    <w:rPr>
      <w:rFonts w:ascii="Times New Roman" w:eastAsiaTheme="majorEastAsia" w:hAnsi="Times New Roman" w:cstheme="majorBidi"/>
      <w:iCs/>
      <w:sz w:val="24"/>
      <w:szCs w:val="24"/>
      <w:u w:val="single"/>
    </w:rPr>
  </w:style>
  <w:style w:type="paragraph" w:styleId="TableofAuthorities">
    <w:name w:val="table of authorities"/>
    <w:basedOn w:val="Normal"/>
    <w:next w:val="Normal"/>
    <w:uiPriority w:val="99"/>
    <w:semiHidden/>
    <w:unhideWhenUsed/>
    <w:rsid w:val="00E91501"/>
    <w:pPr>
      <w:ind w:left="240" w:hanging="240"/>
    </w:pPr>
  </w:style>
  <w:style w:type="paragraph" w:styleId="TableofFigures">
    <w:name w:val="table of figures"/>
    <w:basedOn w:val="Normal"/>
    <w:next w:val="Normal"/>
    <w:uiPriority w:val="99"/>
    <w:semiHidden/>
    <w:unhideWhenUsed/>
    <w:rsid w:val="00E91501"/>
  </w:style>
  <w:style w:type="paragraph" w:styleId="Title">
    <w:name w:val="Title"/>
    <w:basedOn w:val="Normal"/>
    <w:link w:val="TitleChar"/>
    <w:uiPriority w:val="4"/>
    <w:qFormat/>
    <w:rsid w:val="00E91501"/>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4"/>
    <w:rsid w:val="00E91501"/>
    <w:rPr>
      <w:rFonts w:ascii="Times New Roman" w:eastAsiaTheme="majorEastAsia" w:hAnsi="Times New Roman" w:cstheme="majorBidi"/>
      <w:b/>
      <w:sz w:val="24"/>
      <w:szCs w:val="52"/>
      <w:u w:val="single"/>
    </w:rPr>
  </w:style>
  <w:style w:type="paragraph" w:styleId="TOAHeading">
    <w:name w:val="toa heading"/>
    <w:basedOn w:val="Normal"/>
    <w:next w:val="Normal"/>
    <w:uiPriority w:val="99"/>
    <w:semiHidden/>
    <w:unhideWhenUsed/>
    <w:rsid w:val="00E9150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91501"/>
    <w:pPr>
      <w:spacing w:after="100"/>
    </w:pPr>
  </w:style>
  <w:style w:type="paragraph" w:styleId="TOC2">
    <w:name w:val="toc 2"/>
    <w:basedOn w:val="Normal"/>
    <w:next w:val="Normal"/>
    <w:autoRedefine/>
    <w:uiPriority w:val="39"/>
    <w:semiHidden/>
    <w:unhideWhenUsed/>
    <w:rsid w:val="00E91501"/>
    <w:pPr>
      <w:spacing w:after="100"/>
      <w:ind w:left="240"/>
    </w:pPr>
  </w:style>
  <w:style w:type="paragraph" w:styleId="TOC3">
    <w:name w:val="toc 3"/>
    <w:basedOn w:val="Normal"/>
    <w:next w:val="Normal"/>
    <w:autoRedefine/>
    <w:uiPriority w:val="39"/>
    <w:semiHidden/>
    <w:unhideWhenUsed/>
    <w:rsid w:val="00E91501"/>
    <w:pPr>
      <w:spacing w:after="100"/>
      <w:ind w:left="480"/>
    </w:pPr>
  </w:style>
  <w:style w:type="paragraph" w:styleId="TOC4">
    <w:name w:val="toc 4"/>
    <w:basedOn w:val="Normal"/>
    <w:next w:val="Normal"/>
    <w:autoRedefine/>
    <w:uiPriority w:val="39"/>
    <w:semiHidden/>
    <w:unhideWhenUsed/>
    <w:rsid w:val="00E91501"/>
    <w:pPr>
      <w:spacing w:after="100"/>
      <w:ind w:left="720"/>
    </w:pPr>
  </w:style>
  <w:style w:type="paragraph" w:styleId="TOC5">
    <w:name w:val="toc 5"/>
    <w:basedOn w:val="Normal"/>
    <w:next w:val="Normal"/>
    <w:autoRedefine/>
    <w:uiPriority w:val="39"/>
    <w:semiHidden/>
    <w:unhideWhenUsed/>
    <w:rsid w:val="00E91501"/>
    <w:pPr>
      <w:spacing w:after="100"/>
      <w:ind w:left="960"/>
    </w:pPr>
  </w:style>
  <w:style w:type="paragraph" w:styleId="TOC6">
    <w:name w:val="toc 6"/>
    <w:basedOn w:val="Normal"/>
    <w:next w:val="Normal"/>
    <w:autoRedefine/>
    <w:uiPriority w:val="39"/>
    <w:semiHidden/>
    <w:unhideWhenUsed/>
    <w:rsid w:val="00E91501"/>
    <w:pPr>
      <w:spacing w:after="100"/>
      <w:ind w:left="1200"/>
    </w:pPr>
  </w:style>
  <w:style w:type="paragraph" w:styleId="TOC7">
    <w:name w:val="toc 7"/>
    <w:basedOn w:val="Normal"/>
    <w:next w:val="Normal"/>
    <w:autoRedefine/>
    <w:uiPriority w:val="39"/>
    <w:semiHidden/>
    <w:unhideWhenUsed/>
    <w:rsid w:val="00E91501"/>
    <w:pPr>
      <w:spacing w:after="100"/>
      <w:ind w:left="1440"/>
    </w:pPr>
  </w:style>
  <w:style w:type="paragraph" w:styleId="TOC8">
    <w:name w:val="toc 8"/>
    <w:basedOn w:val="Normal"/>
    <w:next w:val="Normal"/>
    <w:autoRedefine/>
    <w:uiPriority w:val="39"/>
    <w:semiHidden/>
    <w:unhideWhenUsed/>
    <w:rsid w:val="00E91501"/>
    <w:pPr>
      <w:spacing w:after="100"/>
      <w:ind w:left="1680"/>
    </w:pPr>
  </w:style>
  <w:style w:type="paragraph" w:styleId="TOC9">
    <w:name w:val="toc 9"/>
    <w:basedOn w:val="Normal"/>
    <w:next w:val="Normal"/>
    <w:autoRedefine/>
    <w:uiPriority w:val="39"/>
    <w:semiHidden/>
    <w:unhideWhenUsed/>
    <w:rsid w:val="00E91501"/>
    <w:pPr>
      <w:spacing w:after="100"/>
      <w:ind w:left="1920"/>
    </w:pPr>
  </w:style>
  <w:style w:type="paragraph" w:styleId="TOCHeading">
    <w:name w:val="TOC Heading"/>
    <w:basedOn w:val="Heading1"/>
    <w:next w:val="Normal"/>
    <w:uiPriority w:val="39"/>
    <w:semiHidden/>
    <w:unhideWhenUsed/>
    <w:qFormat/>
    <w:rsid w:val="00E91501"/>
    <w:pPr>
      <w:keepNext/>
      <w:keepLines/>
      <w:numPr>
        <w:numId w:val="0"/>
      </w:numPr>
      <w:spacing w:before="480" w:after="0"/>
      <w:outlineLvl w:val="9"/>
    </w:pPr>
    <w:rPr>
      <w:rFonts w:asciiTheme="majorHAnsi" w:hAnsiTheme="majorHAnsi" w:cstheme="majorBidi"/>
      <w:b/>
      <w:bCs/>
      <w:color w:val="365F91" w:themeColor="accent1" w:themeShade="BF"/>
      <w:sz w:val="28"/>
      <w:szCs w:val="28"/>
    </w:rPr>
  </w:style>
  <w:style w:type="paragraph" w:styleId="ListParagraph">
    <w:name w:val="List Paragraph"/>
    <w:basedOn w:val="Normal"/>
    <w:uiPriority w:val="1"/>
    <w:qFormat/>
    <w:rsid w:val="00E91501"/>
    <w:pPr>
      <w:ind w:left="720"/>
      <w:contextualSpacing/>
    </w:pPr>
  </w:style>
  <w:style w:type="character" w:customStyle="1" w:styleId="CustomFooter">
    <w:name w:val="CustomFooter"/>
    <w:basedOn w:val="DefaultParagraphFont"/>
    <w:rsid w:val="00713E9D"/>
    <w:rPr>
      <w:b w:val="0"/>
      <w:bCs/>
      <w:i w:val="0"/>
      <w:sz w:val="12"/>
      <w:u w:val="none"/>
    </w:rPr>
  </w:style>
  <w:style w:type="character" w:styleId="CommentReference">
    <w:name w:val="annotation reference"/>
    <w:basedOn w:val="DefaultParagraphFont"/>
    <w:uiPriority w:val="99"/>
    <w:unhideWhenUsed/>
    <w:rsid w:val="00D649CA"/>
    <w:rPr>
      <w:sz w:val="16"/>
      <w:szCs w:val="16"/>
    </w:rPr>
  </w:style>
  <w:style w:type="paragraph" w:styleId="Revision">
    <w:name w:val="Revision"/>
    <w:hidden/>
    <w:uiPriority w:val="99"/>
    <w:semiHidden/>
    <w:rsid w:val="003C1917"/>
    <w:pPr>
      <w:spacing w:after="0" w:line="240" w:lineRule="auto"/>
    </w:pPr>
    <w:rPr>
      <w:rFonts w:ascii="Times New Roman" w:hAnsi="Times New Roman" w:cs="Times New Roman"/>
      <w:sz w:val="24"/>
      <w:szCs w:val="24"/>
    </w:rPr>
  </w:style>
  <w:style w:type="paragraph" w:customStyle="1" w:styleId="Default">
    <w:name w:val="Default"/>
    <w:rsid w:val="001327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77565">
      <w:bodyDiv w:val="1"/>
      <w:marLeft w:val="0"/>
      <w:marRight w:val="0"/>
      <w:marTop w:val="0"/>
      <w:marBottom w:val="0"/>
      <w:divBdr>
        <w:top w:val="none" w:sz="0" w:space="0" w:color="auto"/>
        <w:left w:val="none" w:sz="0" w:space="0" w:color="auto"/>
        <w:bottom w:val="none" w:sz="0" w:space="0" w:color="auto"/>
        <w:right w:val="none" w:sz="0" w:space="0" w:color="auto"/>
      </w:divBdr>
      <w:divsChild>
        <w:div w:id="1835219571">
          <w:marLeft w:val="0"/>
          <w:marRight w:val="0"/>
          <w:marTop w:val="0"/>
          <w:marBottom w:val="0"/>
          <w:divBdr>
            <w:top w:val="none" w:sz="0" w:space="0" w:color="auto"/>
            <w:left w:val="none" w:sz="0" w:space="0" w:color="auto"/>
            <w:bottom w:val="none" w:sz="0" w:space="0" w:color="auto"/>
            <w:right w:val="none" w:sz="0" w:space="0" w:color="auto"/>
          </w:divBdr>
        </w:div>
        <w:div w:id="1709454689">
          <w:marLeft w:val="0"/>
          <w:marRight w:val="0"/>
          <w:marTop w:val="0"/>
          <w:marBottom w:val="0"/>
          <w:divBdr>
            <w:top w:val="none" w:sz="0" w:space="0" w:color="auto"/>
            <w:left w:val="none" w:sz="0" w:space="0" w:color="auto"/>
            <w:bottom w:val="none" w:sz="0" w:space="0" w:color="auto"/>
            <w:right w:val="none" w:sz="0" w:space="0" w:color="auto"/>
          </w:divBdr>
        </w:div>
      </w:divsChild>
    </w:div>
    <w:div w:id="1823961163">
      <w:bodyDiv w:val="1"/>
      <w:marLeft w:val="0"/>
      <w:marRight w:val="0"/>
      <w:marTop w:val="0"/>
      <w:marBottom w:val="0"/>
      <w:divBdr>
        <w:top w:val="none" w:sz="0" w:space="0" w:color="auto"/>
        <w:left w:val="none" w:sz="0" w:space="0" w:color="auto"/>
        <w:bottom w:val="none" w:sz="0" w:space="0" w:color="auto"/>
        <w:right w:val="none" w:sz="0" w:space="0" w:color="auto"/>
      </w:divBdr>
    </w:div>
    <w:div w:id="18311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AC32-F5F8-4C92-A073-915C8178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2022-10-17T20:13:00Z</dcterms:created>
  <dcterms:modified xsi:type="dcterms:W3CDTF">2022-10-17T20:13:00Z</dcterms:modified>
</cp:coreProperties>
</file>